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CD" w:rsidRPr="008A3C80" w:rsidRDefault="00743CB3" w:rsidP="00FA5016">
      <w:pPr>
        <w:rPr>
          <w:rFonts w:ascii="Times New Roman" w:hAnsi="Times New Roman"/>
          <w:b/>
          <w:sz w:val="28"/>
          <w:szCs w:val="28"/>
        </w:rPr>
      </w:pPr>
      <w:r w:rsidRPr="008A3C80">
        <w:rPr>
          <w:rFonts w:ascii="Times New Roman" w:hAnsi="Times New Roman"/>
          <w:b/>
          <w:sz w:val="28"/>
          <w:szCs w:val="28"/>
        </w:rPr>
        <w:t xml:space="preserve">Asbestose na saúde do trabalhador notificados </w:t>
      </w:r>
      <w:r w:rsidR="00C25E38" w:rsidRPr="008A3C80">
        <w:rPr>
          <w:rFonts w:ascii="Times New Roman" w:hAnsi="Times New Roman"/>
          <w:b/>
          <w:sz w:val="28"/>
          <w:szCs w:val="28"/>
        </w:rPr>
        <w:t xml:space="preserve">no SINAN, </w:t>
      </w:r>
      <w:r w:rsidRPr="008A3C80">
        <w:rPr>
          <w:rFonts w:ascii="Times New Roman" w:hAnsi="Times New Roman"/>
          <w:b/>
          <w:sz w:val="28"/>
          <w:szCs w:val="28"/>
        </w:rPr>
        <w:t>Brasil</w:t>
      </w:r>
      <w:r w:rsidR="00C25E38" w:rsidRPr="008A3C80">
        <w:rPr>
          <w:rFonts w:ascii="Times New Roman" w:hAnsi="Times New Roman"/>
          <w:b/>
          <w:sz w:val="28"/>
          <w:szCs w:val="28"/>
        </w:rPr>
        <w:t xml:space="preserve">, </w:t>
      </w:r>
      <w:r w:rsidRPr="008A3C80">
        <w:rPr>
          <w:rFonts w:ascii="Times New Roman" w:hAnsi="Times New Roman"/>
          <w:b/>
          <w:sz w:val="28"/>
          <w:szCs w:val="28"/>
        </w:rPr>
        <w:t>2007-2013</w:t>
      </w:r>
      <w:r w:rsidR="00FA5016" w:rsidRPr="008A3C80">
        <w:rPr>
          <w:rFonts w:ascii="Times New Roman" w:hAnsi="Times New Roman"/>
          <w:b/>
          <w:sz w:val="28"/>
          <w:szCs w:val="28"/>
        </w:rPr>
        <w:t>.</w:t>
      </w:r>
      <w:r w:rsidRPr="008A3C80">
        <w:rPr>
          <w:rFonts w:ascii="Times New Roman" w:hAnsi="Times New Roman"/>
          <w:b/>
          <w:sz w:val="28"/>
          <w:szCs w:val="28"/>
        </w:rPr>
        <w:t xml:space="preserve"> </w:t>
      </w:r>
    </w:p>
    <w:p w:rsidR="00FA5016" w:rsidRPr="008A3C80" w:rsidRDefault="00FA5016" w:rsidP="00FA5016">
      <w:pPr>
        <w:rPr>
          <w:rFonts w:ascii="Times New Roman" w:hAnsi="Times New Roman"/>
          <w:sz w:val="24"/>
          <w:szCs w:val="24"/>
        </w:rPr>
      </w:pPr>
    </w:p>
    <w:p w:rsidR="00DD0773" w:rsidRPr="00DD0773" w:rsidRDefault="00DD0773" w:rsidP="00DD0773">
      <w:pPr>
        <w:spacing w:after="0" w:line="480" w:lineRule="auto"/>
        <w:jc w:val="center"/>
        <w:rPr>
          <w:rFonts w:ascii="Times New Roman" w:hAnsi="Times New Roman"/>
          <w:sz w:val="24"/>
          <w:szCs w:val="24"/>
          <w:lang w:eastAsia="pt-BR"/>
        </w:rPr>
      </w:pPr>
    </w:p>
    <w:p w:rsidR="0023441F" w:rsidRPr="008A3C80" w:rsidRDefault="00DD0773" w:rsidP="00DD0773">
      <w:pPr>
        <w:jc w:val="center"/>
        <w:rPr>
          <w:rFonts w:ascii="Times New Roman" w:hAnsi="Times New Roman"/>
          <w:sz w:val="24"/>
          <w:szCs w:val="24"/>
        </w:rPr>
      </w:pPr>
      <w:bookmarkStart w:id="0" w:name="_GoBack"/>
      <w:bookmarkEnd w:id="0"/>
      <w:r w:rsidRPr="008A3C80">
        <w:rPr>
          <w:rFonts w:ascii="Times New Roman" w:hAnsi="Times New Roman"/>
          <w:b/>
          <w:sz w:val="24"/>
          <w:szCs w:val="24"/>
          <w:lang w:eastAsia="pt-BR"/>
        </w:rPr>
        <w:br w:type="page"/>
      </w:r>
    </w:p>
    <w:p w:rsidR="00BE75BE" w:rsidRPr="008A3C80" w:rsidRDefault="0023441F" w:rsidP="008A3C80">
      <w:pPr>
        <w:numPr>
          <w:ilvl w:val="0"/>
          <w:numId w:val="6"/>
        </w:numPr>
        <w:autoSpaceDE w:val="0"/>
        <w:autoSpaceDN w:val="0"/>
        <w:adjustRightInd w:val="0"/>
        <w:spacing w:line="480" w:lineRule="auto"/>
        <w:ind w:firstLine="709"/>
        <w:jc w:val="both"/>
        <w:rPr>
          <w:rFonts w:ascii="Times New Roman" w:hAnsi="Times New Roman"/>
          <w:b/>
          <w:color w:val="000000" w:themeColor="text1"/>
          <w:sz w:val="24"/>
          <w:szCs w:val="24"/>
        </w:rPr>
      </w:pPr>
      <w:r w:rsidRPr="008A3C80">
        <w:rPr>
          <w:rFonts w:ascii="Times New Roman" w:hAnsi="Times New Roman"/>
          <w:b/>
          <w:color w:val="000000" w:themeColor="text1"/>
          <w:sz w:val="24"/>
          <w:szCs w:val="24"/>
        </w:rPr>
        <w:lastRenderedPageBreak/>
        <w:t xml:space="preserve">RESUMO </w:t>
      </w:r>
    </w:p>
    <w:p w:rsidR="00743CB3" w:rsidRPr="008A3C80" w:rsidRDefault="002A5BC4" w:rsidP="008A3C80">
      <w:pPr>
        <w:autoSpaceDE w:val="0"/>
        <w:autoSpaceDN w:val="0"/>
        <w:adjustRightInd w:val="0"/>
        <w:spacing w:line="480" w:lineRule="auto"/>
        <w:ind w:firstLine="709"/>
        <w:jc w:val="both"/>
        <w:rPr>
          <w:rFonts w:ascii="Times New Roman" w:hAnsi="Times New Roman"/>
          <w:color w:val="000000" w:themeColor="text1"/>
          <w:sz w:val="24"/>
          <w:szCs w:val="24"/>
          <w:highlight w:val="green"/>
        </w:rPr>
      </w:pPr>
      <w:r w:rsidRPr="008A3C80">
        <w:rPr>
          <w:rFonts w:ascii="Times New Roman" w:hAnsi="Times New Roman"/>
          <w:b/>
          <w:color w:val="000000" w:themeColor="text1"/>
          <w:sz w:val="24"/>
          <w:szCs w:val="24"/>
        </w:rPr>
        <w:t>O</w:t>
      </w:r>
      <w:r w:rsidR="007F6EE6" w:rsidRPr="008A3C80">
        <w:rPr>
          <w:rFonts w:ascii="Times New Roman" w:hAnsi="Times New Roman"/>
          <w:b/>
          <w:color w:val="000000" w:themeColor="text1"/>
          <w:sz w:val="24"/>
          <w:szCs w:val="24"/>
        </w:rPr>
        <w:t>bjetivo</w:t>
      </w:r>
      <w:r w:rsidRPr="008A3C80">
        <w:rPr>
          <w:rFonts w:ascii="Times New Roman" w:hAnsi="Times New Roman"/>
          <w:color w:val="000000" w:themeColor="text1"/>
          <w:sz w:val="24"/>
          <w:szCs w:val="24"/>
        </w:rPr>
        <w:t>:</w:t>
      </w:r>
      <w:r w:rsidR="007F6EE6" w:rsidRPr="008A3C80">
        <w:rPr>
          <w:rFonts w:ascii="Times New Roman" w:hAnsi="Times New Roman"/>
          <w:color w:val="000000" w:themeColor="text1"/>
          <w:sz w:val="24"/>
          <w:szCs w:val="24"/>
        </w:rPr>
        <w:t xml:space="preserve"> caracterizar </w:t>
      </w:r>
      <w:r w:rsidR="000D16C9" w:rsidRPr="008A3C80">
        <w:rPr>
          <w:rFonts w:ascii="Times New Roman" w:hAnsi="Times New Roman"/>
          <w:color w:val="000000" w:themeColor="text1"/>
          <w:sz w:val="24"/>
          <w:szCs w:val="24"/>
        </w:rPr>
        <w:t xml:space="preserve">o perfil epidemiológico dos trabalhadores </w:t>
      </w:r>
      <w:r w:rsidR="00DE71DA" w:rsidRPr="008A3C80">
        <w:rPr>
          <w:rFonts w:ascii="Times New Roman" w:hAnsi="Times New Roman"/>
          <w:color w:val="000000" w:themeColor="text1"/>
          <w:sz w:val="24"/>
          <w:szCs w:val="24"/>
        </w:rPr>
        <w:t xml:space="preserve">referente à </w:t>
      </w:r>
      <w:proofErr w:type="spellStart"/>
      <w:r w:rsidR="00DE71DA" w:rsidRPr="008A3C80">
        <w:rPr>
          <w:rFonts w:ascii="Times New Roman" w:hAnsi="Times New Roman"/>
          <w:color w:val="000000" w:themeColor="text1"/>
          <w:sz w:val="24"/>
          <w:szCs w:val="24"/>
        </w:rPr>
        <w:t>asbestose</w:t>
      </w:r>
      <w:proofErr w:type="spellEnd"/>
      <w:r w:rsidR="00B16F13" w:rsidRPr="008A3C80">
        <w:rPr>
          <w:rFonts w:ascii="Times New Roman" w:hAnsi="Times New Roman"/>
          <w:color w:val="000000" w:themeColor="text1"/>
          <w:sz w:val="24"/>
          <w:szCs w:val="24"/>
        </w:rPr>
        <w:t xml:space="preserve"> no período de 2007 a 2013</w:t>
      </w:r>
      <w:r w:rsidR="008F6484" w:rsidRPr="008A3C80">
        <w:rPr>
          <w:rFonts w:ascii="Times New Roman" w:hAnsi="Times New Roman"/>
          <w:color w:val="000000" w:themeColor="text1"/>
          <w:sz w:val="24"/>
          <w:szCs w:val="24"/>
        </w:rPr>
        <w:t>.</w:t>
      </w:r>
      <w:r w:rsidR="00DE71DA" w:rsidRPr="008A3C80">
        <w:rPr>
          <w:rFonts w:ascii="Times New Roman" w:hAnsi="Times New Roman"/>
          <w:color w:val="000000" w:themeColor="text1"/>
          <w:sz w:val="24"/>
          <w:szCs w:val="24"/>
        </w:rPr>
        <w:t xml:space="preserve"> </w:t>
      </w:r>
      <w:r w:rsidR="00A24605" w:rsidRPr="008A3C80">
        <w:rPr>
          <w:rFonts w:ascii="Times New Roman" w:hAnsi="Times New Roman"/>
          <w:b/>
          <w:color w:val="000000" w:themeColor="text1"/>
          <w:sz w:val="24"/>
          <w:szCs w:val="24"/>
        </w:rPr>
        <w:t>Metodologia</w:t>
      </w:r>
      <w:r w:rsidR="00A24605" w:rsidRPr="008A3C80">
        <w:rPr>
          <w:rFonts w:ascii="Times New Roman" w:hAnsi="Times New Roman"/>
          <w:color w:val="000000" w:themeColor="text1"/>
          <w:sz w:val="24"/>
          <w:szCs w:val="24"/>
        </w:rPr>
        <w:t xml:space="preserve">: </w:t>
      </w:r>
      <w:r w:rsidR="000D16C9" w:rsidRPr="008A3C80">
        <w:rPr>
          <w:rFonts w:ascii="Times New Roman" w:hAnsi="Times New Roman"/>
          <w:color w:val="000000" w:themeColor="text1"/>
          <w:sz w:val="24"/>
          <w:szCs w:val="24"/>
        </w:rPr>
        <w:t>utilizado</w:t>
      </w:r>
      <w:r w:rsidR="007D0D11" w:rsidRPr="008A3C80">
        <w:rPr>
          <w:rFonts w:ascii="Times New Roman" w:hAnsi="Times New Roman"/>
          <w:color w:val="000000" w:themeColor="text1"/>
          <w:sz w:val="24"/>
          <w:szCs w:val="24"/>
        </w:rPr>
        <w:t xml:space="preserve"> dados do</w:t>
      </w:r>
      <w:r w:rsidR="000D16C9" w:rsidRPr="008A3C80">
        <w:rPr>
          <w:rFonts w:ascii="Times New Roman" w:hAnsi="Times New Roman"/>
          <w:color w:val="000000" w:themeColor="text1"/>
          <w:sz w:val="24"/>
          <w:szCs w:val="24"/>
        </w:rPr>
        <w:t xml:space="preserve"> Sistema de Informação de Agravos de Notificação </w:t>
      </w:r>
      <w:r w:rsidR="00311EDE" w:rsidRPr="008A3C80">
        <w:rPr>
          <w:rFonts w:ascii="Times New Roman" w:hAnsi="Times New Roman"/>
          <w:color w:val="000000" w:themeColor="text1"/>
          <w:sz w:val="24"/>
          <w:szCs w:val="24"/>
        </w:rPr>
        <w:t>(</w:t>
      </w:r>
      <w:r w:rsidR="000D16C9" w:rsidRPr="008A3C80">
        <w:rPr>
          <w:rFonts w:ascii="Times New Roman" w:hAnsi="Times New Roman"/>
          <w:color w:val="000000" w:themeColor="text1"/>
          <w:sz w:val="24"/>
          <w:szCs w:val="24"/>
        </w:rPr>
        <w:t>S</w:t>
      </w:r>
      <w:r w:rsidR="00311EDE" w:rsidRPr="008A3C80">
        <w:rPr>
          <w:rFonts w:ascii="Times New Roman" w:hAnsi="Times New Roman"/>
          <w:color w:val="000000" w:themeColor="text1"/>
          <w:sz w:val="24"/>
          <w:szCs w:val="24"/>
        </w:rPr>
        <w:t>INAN)</w:t>
      </w:r>
      <w:r w:rsidR="000D16C9" w:rsidRPr="008A3C80">
        <w:rPr>
          <w:rFonts w:ascii="Times New Roman" w:hAnsi="Times New Roman"/>
          <w:color w:val="000000" w:themeColor="text1"/>
          <w:sz w:val="24"/>
          <w:szCs w:val="24"/>
        </w:rPr>
        <w:t xml:space="preserve"> </w:t>
      </w:r>
      <w:r w:rsidR="008F6484" w:rsidRPr="008A3C80">
        <w:rPr>
          <w:rFonts w:ascii="Times New Roman" w:hAnsi="Times New Roman"/>
          <w:color w:val="000000" w:themeColor="text1"/>
          <w:sz w:val="24"/>
          <w:szCs w:val="24"/>
        </w:rPr>
        <w:t xml:space="preserve">e os programas </w:t>
      </w:r>
      <w:proofErr w:type="spellStart"/>
      <w:r w:rsidR="008F6484" w:rsidRPr="008A3C80">
        <w:rPr>
          <w:rFonts w:ascii="Times New Roman" w:hAnsi="Times New Roman"/>
          <w:i/>
          <w:color w:val="000000" w:themeColor="text1"/>
          <w:sz w:val="24"/>
          <w:szCs w:val="24"/>
        </w:rPr>
        <w:t>Tabwin</w:t>
      </w:r>
      <w:proofErr w:type="spellEnd"/>
      <w:r w:rsidR="008F6484" w:rsidRPr="008A3C80">
        <w:rPr>
          <w:rFonts w:ascii="Times New Roman" w:hAnsi="Times New Roman"/>
          <w:color w:val="000000" w:themeColor="text1"/>
          <w:sz w:val="24"/>
          <w:szCs w:val="24"/>
        </w:rPr>
        <w:t xml:space="preserve"> e </w:t>
      </w:r>
      <w:r w:rsidR="008F6484" w:rsidRPr="008A3C80">
        <w:rPr>
          <w:rFonts w:ascii="Times New Roman" w:hAnsi="Times New Roman"/>
          <w:i/>
          <w:color w:val="000000" w:themeColor="text1"/>
          <w:sz w:val="24"/>
          <w:szCs w:val="24"/>
        </w:rPr>
        <w:t>Excel</w:t>
      </w:r>
      <w:r w:rsidR="008F6484" w:rsidRPr="008A3C80">
        <w:rPr>
          <w:rFonts w:ascii="Times New Roman" w:hAnsi="Times New Roman"/>
          <w:color w:val="000000" w:themeColor="text1"/>
          <w:sz w:val="24"/>
          <w:szCs w:val="24"/>
        </w:rPr>
        <w:t xml:space="preserve"> para extração e tabulação dos dados. </w:t>
      </w:r>
      <w:r w:rsidR="008F6484" w:rsidRPr="008A3C80">
        <w:rPr>
          <w:rFonts w:ascii="Times New Roman" w:hAnsi="Times New Roman"/>
          <w:b/>
          <w:color w:val="000000" w:themeColor="text1"/>
          <w:sz w:val="24"/>
          <w:szCs w:val="24"/>
        </w:rPr>
        <w:t>Resultados</w:t>
      </w:r>
      <w:r w:rsidR="008F6484" w:rsidRPr="008A3C80">
        <w:rPr>
          <w:rFonts w:ascii="Times New Roman" w:hAnsi="Times New Roman"/>
          <w:color w:val="000000" w:themeColor="text1"/>
          <w:sz w:val="24"/>
          <w:szCs w:val="24"/>
        </w:rPr>
        <w:t>:</w:t>
      </w:r>
      <w:r w:rsidR="007F6EE6" w:rsidRPr="008A3C80">
        <w:rPr>
          <w:rFonts w:ascii="Times New Roman" w:hAnsi="Times New Roman"/>
          <w:color w:val="000000" w:themeColor="text1"/>
          <w:sz w:val="24"/>
          <w:szCs w:val="24"/>
        </w:rPr>
        <w:t xml:space="preserve"> ocorreram 1.192 casos</w:t>
      </w:r>
      <w:r w:rsidR="007477C4" w:rsidRPr="008A3C80">
        <w:rPr>
          <w:rFonts w:ascii="Times New Roman" w:hAnsi="Times New Roman"/>
          <w:color w:val="000000" w:themeColor="text1"/>
          <w:sz w:val="24"/>
          <w:szCs w:val="24"/>
        </w:rPr>
        <w:t xml:space="preserve">, sendo </w:t>
      </w:r>
      <w:r w:rsidR="007F6EE6" w:rsidRPr="008A3C80">
        <w:rPr>
          <w:rFonts w:ascii="Times New Roman" w:hAnsi="Times New Roman"/>
          <w:color w:val="000000" w:themeColor="text1"/>
          <w:sz w:val="24"/>
          <w:szCs w:val="24"/>
        </w:rPr>
        <w:t>Campinas com o maior número de notificações (90,4%</w:t>
      </w:r>
      <w:r w:rsidRPr="008A3C80">
        <w:rPr>
          <w:rFonts w:ascii="Times New Roman" w:hAnsi="Times New Roman"/>
          <w:color w:val="000000" w:themeColor="text1"/>
          <w:sz w:val="24"/>
          <w:szCs w:val="24"/>
        </w:rPr>
        <w:t>),</w:t>
      </w:r>
      <w:r w:rsidR="007F6EE6" w:rsidRPr="008A3C80">
        <w:rPr>
          <w:rFonts w:ascii="Times New Roman" w:hAnsi="Times New Roman"/>
          <w:color w:val="000000" w:themeColor="text1"/>
          <w:sz w:val="24"/>
          <w:szCs w:val="24"/>
        </w:rPr>
        <w:t xml:space="preserve"> o perfil dos trabalhadores foi de aposentados,</w:t>
      </w:r>
      <w:r w:rsidRPr="008A3C80">
        <w:rPr>
          <w:rFonts w:ascii="Times New Roman" w:hAnsi="Times New Roman"/>
          <w:color w:val="000000" w:themeColor="text1"/>
          <w:sz w:val="24"/>
          <w:szCs w:val="24"/>
        </w:rPr>
        <w:t xml:space="preserve"> </w:t>
      </w:r>
      <w:r w:rsidR="007F6EE6" w:rsidRPr="008A3C80">
        <w:rPr>
          <w:rFonts w:ascii="Times New Roman" w:hAnsi="Times New Roman"/>
          <w:color w:val="000000" w:themeColor="text1"/>
          <w:sz w:val="24"/>
          <w:szCs w:val="24"/>
        </w:rPr>
        <w:t>85% tinham idade entre 50 - 79 anos, 50% d</w:t>
      </w:r>
      <w:r w:rsidR="00707976" w:rsidRPr="008A3C80">
        <w:rPr>
          <w:rFonts w:ascii="Times New Roman" w:hAnsi="Times New Roman"/>
          <w:color w:val="000000" w:themeColor="text1"/>
          <w:sz w:val="24"/>
          <w:szCs w:val="24"/>
        </w:rPr>
        <w:t>e t</w:t>
      </w:r>
      <w:r w:rsidR="007F6EE6" w:rsidRPr="008A3C80">
        <w:rPr>
          <w:rFonts w:ascii="Times New Roman" w:hAnsi="Times New Roman"/>
          <w:color w:val="000000" w:themeColor="text1"/>
          <w:sz w:val="24"/>
          <w:szCs w:val="24"/>
        </w:rPr>
        <w:t>rabalhador de pré-fabricados.</w:t>
      </w:r>
      <w:r w:rsidR="008F6484" w:rsidRPr="008A3C80">
        <w:rPr>
          <w:rFonts w:ascii="Times New Roman" w:hAnsi="Times New Roman"/>
          <w:color w:val="000000" w:themeColor="text1"/>
          <w:sz w:val="24"/>
          <w:szCs w:val="24"/>
        </w:rPr>
        <w:t xml:space="preserve"> </w:t>
      </w:r>
      <w:r w:rsidR="008F6484" w:rsidRPr="008A3C80">
        <w:rPr>
          <w:rFonts w:ascii="Times New Roman" w:hAnsi="Times New Roman"/>
          <w:b/>
          <w:color w:val="000000" w:themeColor="text1"/>
          <w:sz w:val="24"/>
          <w:szCs w:val="24"/>
        </w:rPr>
        <w:t>Conclusão</w:t>
      </w:r>
      <w:r w:rsidR="008F6484" w:rsidRPr="008A3C80">
        <w:rPr>
          <w:rFonts w:ascii="Times New Roman" w:hAnsi="Times New Roman"/>
          <w:color w:val="000000" w:themeColor="text1"/>
          <w:sz w:val="24"/>
          <w:szCs w:val="24"/>
        </w:rPr>
        <w:t xml:space="preserve">: </w:t>
      </w:r>
      <w:r w:rsidR="004A2D34" w:rsidRPr="008A3C80">
        <w:rPr>
          <w:rFonts w:ascii="Times New Roman" w:hAnsi="Times New Roman"/>
          <w:color w:val="000000" w:themeColor="text1"/>
          <w:sz w:val="24"/>
          <w:szCs w:val="24"/>
        </w:rPr>
        <w:t>e</w:t>
      </w:r>
      <w:r w:rsidR="008F6484" w:rsidRPr="008A3C80">
        <w:rPr>
          <w:rFonts w:ascii="Times New Roman" w:hAnsi="Times New Roman"/>
          <w:color w:val="000000" w:themeColor="text1"/>
          <w:sz w:val="24"/>
          <w:szCs w:val="24"/>
        </w:rPr>
        <w:t>mbora</w:t>
      </w:r>
      <w:r w:rsidR="007F6EE6" w:rsidRPr="008A3C80">
        <w:rPr>
          <w:rFonts w:ascii="Times New Roman" w:hAnsi="Times New Roman"/>
          <w:color w:val="000000" w:themeColor="text1"/>
          <w:sz w:val="24"/>
          <w:szCs w:val="24"/>
        </w:rPr>
        <w:t xml:space="preserve"> seja </w:t>
      </w:r>
      <w:r w:rsidR="00D55B1E" w:rsidRPr="008A3C80">
        <w:rPr>
          <w:rFonts w:ascii="Times New Roman" w:hAnsi="Times New Roman"/>
          <w:color w:val="000000" w:themeColor="text1"/>
          <w:sz w:val="24"/>
          <w:szCs w:val="24"/>
        </w:rPr>
        <w:t>nítida</w:t>
      </w:r>
      <w:r w:rsidR="007F6EE6" w:rsidRPr="008A3C80">
        <w:rPr>
          <w:rFonts w:ascii="Times New Roman" w:hAnsi="Times New Roman"/>
          <w:color w:val="000000" w:themeColor="text1"/>
          <w:sz w:val="24"/>
          <w:szCs w:val="24"/>
        </w:rPr>
        <w:t xml:space="preserve"> a gravidade do agravo, há baixa notificação e vigilância sobre ela, demandando maiores discussões e esclarecimentos sobre o assunto perante a sociedade e trabalhadores.</w:t>
      </w:r>
    </w:p>
    <w:p w:rsidR="00743CB3" w:rsidRPr="008A3C80" w:rsidRDefault="0023441F" w:rsidP="008A3C80">
      <w:pPr>
        <w:numPr>
          <w:ilvl w:val="0"/>
          <w:numId w:val="6"/>
        </w:numPr>
        <w:autoSpaceDE w:val="0"/>
        <w:autoSpaceDN w:val="0"/>
        <w:adjustRightInd w:val="0"/>
        <w:spacing w:line="480" w:lineRule="auto"/>
        <w:ind w:left="1066" w:firstLine="709"/>
        <w:jc w:val="both"/>
        <w:rPr>
          <w:rFonts w:ascii="Times New Roman" w:hAnsi="Times New Roman"/>
          <w:b/>
          <w:color w:val="000000" w:themeColor="text1"/>
          <w:sz w:val="24"/>
          <w:szCs w:val="24"/>
        </w:rPr>
      </w:pPr>
      <w:r w:rsidRPr="008A3C80">
        <w:rPr>
          <w:rFonts w:ascii="Times New Roman" w:hAnsi="Times New Roman"/>
          <w:b/>
          <w:color w:val="000000" w:themeColor="text1"/>
          <w:sz w:val="24"/>
          <w:szCs w:val="24"/>
        </w:rPr>
        <w:t>INTRODUÇÃO</w:t>
      </w:r>
    </w:p>
    <w:p w:rsidR="003C2A5C" w:rsidRPr="008A3C80" w:rsidRDefault="00E36EA9" w:rsidP="008A3C80">
      <w:pPr>
        <w:autoSpaceDE w:val="0"/>
        <w:autoSpaceDN w:val="0"/>
        <w:adjustRightInd w:val="0"/>
        <w:spacing w:line="480" w:lineRule="auto"/>
        <w:ind w:firstLine="709"/>
        <w:jc w:val="both"/>
        <w:rPr>
          <w:rFonts w:ascii="Times New Roman" w:hAnsi="Times New Roman"/>
          <w:sz w:val="24"/>
          <w:szCs w:val="24"/>
        </w:rPr>
      </w:pPr>
      <w:r w:rsidRPr="008A3C80">
        <w:rPr>
          <w:rFonts w:ascii="Times New Roman" w:hAnsi="Times New Roman"/>
          <w:color w:val="000000" w:themeColor="text1"/>
          <w:sz w:val="24"/>
          <w:szCs w:val="24"/>
        </w:rPr>
        <w:t xml:space="preserve">O amianto </w:t>
      </w:r>
      <w:r w:rsidR="008E5134" w:rsidRPr="008A3C80">
        <w:rPr>
          <w:rFonts w:ascii="Times New Roman" w:hAnsi="Times New Roman"/>
          <w:color w:val="000000" w:themeColor="text1"/>
          <w:sz w:val="24"/>
          <w:szCs w:val="24"/>
        </w:rPr>
        <w:t xml:space="preserve">(latim) </w:t>
      </w:r>
      <w:r w:rsidRPr="008A3C80">
        <w:rPr>
          <w:rFonts w:ascii="Times New Roman" w:hAnsi="Times New Roman"/>
          <w:color w:val="000000" w:themeColor="text1"/>
          <w:sz w:val="24"/>
          <w:szCs w:val="24"/>
        </w:rPr>
        <w:t>ou</w:t>
      </w:r>
      <w:r w:rsidR="00EC623A" w:rsidRPr="008A3C80">
        <w:rPr>
          <w:rFonts w:ascii="Times New Roman" w:hAnsi="Times New Roman"/>
          <w:color w:val="000000" w:themeColor="text1"/>
          <w:sz w:val="24"/>
          <w:szCs w:val="24"/>
        </w:rPr>
        <w:t xml:space="preserve"> </w:t>
      </w:r>
      <w:r w:rsidRPr="008A3C80">
        <w:rPr>
          <w:rFonts w:ascii="Times New Roman" w:hAnsi="Times New Roman"/>
          <w:color w:val="000000" w:themeColor="text1"/>
          <w:sz w:val="24"/>
          <w:szCs w:val="24"/>
        </w:rPr>
        <w:t>asbesto</w:t>
      </w:r>
      <w:r w:rsidR="008E5134" w:rsidRPr="008A3C80">
        <w:rPr>
          <w:rFonts w:ascii="Times New Roman" w:hAnsi="Times New Roman"/>
          <w:color w:val="000000" w:themeColor="text1"/>
          <w:sz w:val="24"/>
          <w:szCs w:val="24"/>
        </w:rPr>
        <w:t xml:space="preserve"> (grego)</w:t>
      </w:r>
      <w:r w:rsidR="00EC623A" w:rsidRPr="008A3C80">
        <w:rPr>
          <w:rFonts w:ascii="Times New Roman" w:hAnsi="Times New Roman"/>
          <w:color w:val="000000" w:themeColor="text1"/>
          <w:sz w:val="24"/>
          <w:szCs w:val="24"/>
        </w:rPr>
        <w:t xml:space="preserve"> </w:t>
      </w:r>
      <w:r w:rsidR="008E5134" w:rsidRPr="008A3C80">
        <w:rPr>
          <w:rFonts w:ascii="Times New Roman" w:hAnsi="Times New Roman"/>
          <w:color w:val="000000" w:themeColor="text1"/>
          <w:sz w:val="24"/>
          <w:szCs w:val="24"/>
        </w:rPr>
        <w:t>é uma fibra mineral natural extraída d</w:t>
      </w:r>
      <w:r w:rsidRPr="008A3C80">
        <w:rPr>
          <w:rFonts w:ascii="Times New Roman" w:hAnsi="Times New Roman"/>
          <w:color w:val="000000" w:themeColor="text1"/>
          <w:sz w:val="24"/>
          <w:szCs w:val="24"/>
        </w:rPr>
        <w:t xml:space="preserve">e rochas </w:t>
      </w:r>
      <w:r w:rsidR="008E5134" w:rsidRPr="008A3C80">
        <w:rPr>
          <w:rFonts w:ascii="Times New Roman" w:hAnsi="Times New Roman"/>
          <w:color w:val="000000" w:themeColor="text1"/>
          <w:sz w:val="24"/>
          <w:szCs w:val="24"/>
        </w:rPr>
        <w:t>compostas de silicatos hidratados de magnésio</w:t>
      </w:r>
      <w:r w:rsidR="001F70B3" w:rsidRPr="008A3C80">
        <w:rPr>
          <w:rFonts w:ascii="Times New Roman" w:hAnsi="Times New Roman"/>
          <w:color w:val="000000" w:themeColor="text1"/>
          <w:sz w:val="24"/>
          <w:szCs w:val="24"/>
        </w:rPr>
        <w:t xml:space="preserve"> e tem como características físico-químicas principais a alta resistência mecânica e </w:t>
      </w:r>
      <w:r w:rsidR="00FB0E8B" w:rsidRPr="008A3C80">
        <w:rPr>
          <w:rFonts w:ascii="Times New Roman" w:hAnsi="Times New Roman"/>
          <w:color w:val="000000" w:themeColor="text1"/>
          <w:sz w:val="24"/>
          <w:szCs w:val="24"/>
        </w:rPr>
        <w:t>as</w:t>
      </w:r>
      <w:r w:rsidR="001F70B3" w:rsidRPr="008A3C80">
        <w:rPr>
          <w:rFonts w:ascii="Times New Roman" w:hAnsi="Times New Roman"/>
          <w:color w:val="000000" w:themeColor="text1"/>
          <w:sz w:val="24"/>
          <w:szCs w:val="24"/>
        </w:rPr>
        <w:t xml:space="preserve"> altas temperaturas, incombustibilidade, boa qualidade isolante, durabilidade, flexibilidade, indestrutibilidade, resistente ao ataque de ácido</w:t>
      </w:r>
      <w:r w:rsidR="00DE2EDC" w:rsidRPr="008A3C80">
        <w:rPr>
          <w:rFonts w:ascii="Times New Roman" w:hAnsi="Times New Roman"/>
          <w:color w:val="000000" w:themeColor="text1"/>
          <w:sz w:val="24"/>
          <w:szCs w:val="24"/>
        </w:rPr>
        <w:t>s, álcalis e bactérias, entre outros</w:t>
      </w:r>
      <w:r w:rsidR="00EC623A" w:rsidRPr="008A3C80">
        <w:rPr>
          <w:rFonts w:ascii="Times New Roman" w:hAnsi="Times New Roman"/>
          <w:color w:val="000000" w:themeColor="text1"/>
          <w:sz w:val="24"/>
          <w:szCs w:val="24"/>
        </w:rPr>
        <w:t>.</w:t>
      </w:r>
      <w:r w:rsidR="00DE2EDC" w:rsidRPr="008A3C80">
        <w:rPr>
          <w:rFonts w:ascii="Times New Roman" w:hAnsi="Times New Roman"/>
          <w:color w:val="000000" w:themeColor="text1"/>
          <w:sz w:val="24"/>
          <w:szCs w:val="24"/>
        </w:rPr>
        <w:t xml:space="preserve"> Além des</w:t>
      </w:r>
      <w:r w:rsidR="00FB0E8B" w:rsidRPr="008A3C80">
        <w:rPr>
          <w:rFonts w:ascii="Times New Roman" w:hAnsi="Times New Roman"/>
          <w:color w:val="000000" w:themeColor="text1"/>
          <w:sz w:val="24"/>
          <w:szCs w:val="24"/>
        </w:rPr>
        <w:t>t</w:t>
      </w:r>
      <w:r w:rsidR="00DE2EDC" w:rsidRPr="008A3C80">
        <w:rPr>
          <w:rFonts w:ascii="Times New Roman" w:hAnsi="Times New Roman"/>
          <w:color w:val="000000" w:themeColor="text1"/>
          <w:sz w:val="24"/>
          <w:szCs w:val="24"/>
        </w:rPr>
        <w:t xml:space="preserve">as características, a sua </w:t>
      </w:r>
      <w:r w:rsidR="00FB0E8B" w:rsidRPr="008A3C80">
        <w:rPr>
          <w:rFonts w:ascii="Times New Roman" w:hAnsi="Times New Roman"/>
          <w:color w:val="000000" w:themeColor="text1"/>
          <w:sz w:val="24"/>
          <w:szCs w:val="24"/>
        </w:rPr>
        <w:t>abundância</w:t>
      </w:r>
      <w:r w:rsidR="00DE2EDC" w:rsidRPr="008A3C80">
        <w:rPr>
          <w:rFonts w:ascii="Times New Roman" w:hAnsi="Times New Roman"/>
          <w:color w:val="000000" w:themeColor="text1"/>
          <w:sz w:val="24"/>
          <w:szCs w:val="24"/>
        </w:rPr>
        <w:t xml:space="preserve"> na natureza e baixo custo fizeram dela largamente utilizada na indústria. </w:t>
      </w:r>
      <w:r w:rsidR="00EC623A" w:rsidRPr="008A3C80">
        <w:rPr>
          <w:rFonts w:ascii="Times New Roman" w:hAnsi="Times New Roman"/>
          <w:color w:val="000000" w:themeColor="text1"/>
          <w:sz w:val="24"/>
          <w:szCs w:val="24"/>
        </w:rPr>
        <w:t>As rochas de amianto se dividem em dois grupos: as serpentinas e os anfibólios. As serpentinas têm como principal variedade a crisotila ou "amianto branco", que apresenta fibras curvas e maleáveis</w:t>
      </w:r>
      <w:r w:rsidR="005F35F7" w:rsidRPr="008A3C80">
        <w:rPr>
          <w:rFonts w:ascii="Times New Roman" w:hAnsi="Times New Roman"/>
          <w:color w:val="000000" w:themeColor="text1"/>
          <w:sz w:val="24"/>
          <w:szCs w:val="24"/>
        </w:rPr>
        <w:t xml:space="preserve"> e</w:t>
      </w:r>
      <w:r w:rsidR="00492A43" w:rsidRPr="008A3C80">
        <w:rPr>
          <w:rFonts w:ascii="Times New Roman" w:hAnsi="Times New Roman"/>
          <w:color w:val="000000" w:themeColor="text1"/>
          <w:sz w:val="24"/>
          <w:szCs w:val="24"/>
        </w:rPr>
        <w:t xml:space="preserve"> corresponde a mais de 95% de todo o amianto explorado e consumido no mundo. Já os</w:t>
      </w:r>
      <w:r w:rsidR="00EC623A" w:rsidRPr="008A3C80">
        <w:rPr>
          <w:rFonts w:ascii="Times New Roman" w:hAnsi="Times New Roman"/>
          <w:color w:val="000000" w:themeColor="text1"/>
          <w:sz w:val="24"/>
          <w:szCs w:val="24"/>
        </w:rPr>
        <w:t xml:space="preserve"> anfibólios, que representam menos de 5%, estão banidos </w:t>
      </w:r>
      <w:r w:rsidR="00492A43" w:rsidRPr="008A3C80">
        <w:rPr>
          <w:rFonts w:ascii="Times New Roman" w:hAnsi="Times New Roman"/>
          <w:color w:val="000000" w:themeColor="text1"/>
          <w:sz w:val="24"/>
          <w:szCs w:val="24"/>
        </w:rPr>
        <w:t>na</w:t>
      </w:r>
      <w:r w:rsidR="00EC623A" w:rsidRPr="008A3C80">
        <w:rPr>
          <w:rFonts w:ascii="Times New Roman" w:hAnsi="Times New Roman"/>
          <w:color w:val="000000" w:themeColor="text1"/>
          <w:sz w:val="24"/>
          <w:szCs w:val="24"/>
        </w:rPr>
        <w:t xml:space="preserve"> maior parte do planeta </w:t>
      </w:r>
      <w:r w:rsidR="00492A43" w:rsidRPr="008A3C80">
        <w:rPr>
          <w:rFonts w:ascii="Times New Roman" w:hAnsi="Times New Roman"/>
          <w:color w:val="000000" w:themeColor="text1"/>
          <w:sz w:val="24"/>
          <w:szCs w:val="24"/>
        </w:rPr>
        <w:t>(ABREA</w:t>
      </w:r>
      <w:r w:rsidR="00492A43" w:rsidRPr="008A3C80">
        <w:rPr>
          <w:rFonts w:ascii="Times New Roman" w:hAnsi="Times New Roman"/>
          <w:sz w:val="24"/>
          <w:szCs w:val="24"/>
          <w:vertAlign w:val="superscript"/>
        </w:rPr>
        <w:t>5</w:t>
      </w:r>
      <w:r w:rsidR="00492A43" w:rsidRPr="008A3C80">
        <w:rPr>
          <w:rFonts w:ascii="Times New Roman" w:hAnsi="Times New Roman"/>
          <w:color w:val="000000" w:themeColor="text1"/>
          <w:sz w:val="24"/>
          <w:szCs w:val="24"/>
        </w:rPr>
        <w:t xml:space="preserve"> e </w:t>
      </w:r>
      <w:r w:rsidR="001A76F4" w:rsidRPr="008A3C80">
        <w:rPr>
          <w:rFonts w:ascii="Times New Roman" w:hAnsi="Times New Roman"/>
          <w:color w:val="000000" w:themeColor="text1"/>
          <w:sz w:val="24"/>
          <w:szCs w:val="24"/>
        </w:rPr>
        <w:t>INCA</w:t>
      </w:r>
      <w:r w:rsidR="00492A43" w:rsidRPr="008A3C80">
        <w:rPr>
          <w:rFonts w:ascii="Times New Roman" w:hAnsi="Times New Roman"/>
          <w:sz w:val="24"/>
          <w:szCs w:val="24"/>
          <w:vertAlign w:val="superscript"/>
        </w:rPr>
        <w:t>1</w:t>
      </w:r>
      <w:r w:rsidR="00EC623A" w:rsidRPr="008A3C80">
        <w:rPr>
          <w:rFonts w:ascii="Times New Roman" w:hAnsi="Times New Roman"/>
          <w:color w:val="000000" w:themeColor="text1"/>
          <w:sz w:val="24"/>
          <w:szCs w:val="24"/>
        </w:rPr>
        <w:t>)</w:t>
      </w:r>
      <w:r w:rsidR="00D50163" w:rsidRPr="008A3C80">
        <w:rPr>
          <w:rFonts w:ascii="Times New Roman" w:hAnsi="Times New Roman"/>
          <w:color w:val="000000" w:themeColor="text1"/>
          <w:sz w:val="24"/>
          <w:szCs w:val="24"/>
        </w:rPr>
        <w:t>.</w:t>
      </w:r>
      <w:r w:rsidR="00EC623A" w:rsidRPr="008A3C80">
        <w:rPr>
          <w:rFonts w:ascii="Times New Roman" w:hAnsi="Times New Roman"/>
          <w:color w:val="FF0000"/>
          <w:sz w:val="24"/>
          <w:szCs w:val="24"/>
          <w:vertAlign w:val="superscript"/>
        </w:rPr>
        <w:t xml:space="preserve"> </w:t>
      </w:r>
      <w:r w:rsidR="003C2A5C" w:rsidRPr="008A3C80">
        <w:rPr>
          <w:rFonts w:ascii="Times New Roman" w:hAnsi="Times New Roman"/>
          <w:color w:val="000000" w:themeColor="text1"/>
          <w:sz w:val="24"/>
          <w:szCs w:val="24"/>
        </w:rPr>
        <w:t xml:space="preserve">Todos os tipos de amianto </w:t>
      </w:r>
      <w:r w:rsidR="00485036" w:rsidRPr="008A3C80">
        <w:rPr>
          <w:rFonts w:ascii="Times New Roman" w:hAnsi="Times New Roman"/>
          <w:color w:val="000000" w:themeColor="text1"/>
          <w:sz w:val="24"/>
          <w:szCs w:val="24"/>
        </w:rPr>
        <w:t xml:space="preserve">e a sua exposição estão relacionados à ocorrência de diversas </w:t>
      </w:r>
      <w:r w:rsidR="00485036" w:rsidRPr="008A3C80">
        <w:rPr>
          <w:rFonts w:ascii="Times New Roman" w:hAnsi="Times New Roman"/>
          <w:color w:val="000000" w:themeColor="text1"/>
          <w:sz w:val="24"/>
          <w:szCs w:val="24"/>
        </w:rPr>
        <w:lastRenderedPageBreak/>
        <w:t>patologias, como o</w:t>
      </w:r>
      <w:r w:rsidR="003C2A5C" w:rsidRPr="008A3C80">
        <w:rPr>
          <w:rFonts w:ascii="Times New Roman" w:hAnsi="Times New Roman"/>
          <w:color w:val="000000" w:themeColor="text1"/>
          <w:sz w:val="24"/>
          <w:szCs w:val="24"/>
        </w:rPr>
        <w:t xml:space="preserve"> câncer de pulmão, mesotelioma, câncer de laringe e ovário, e asbestose (fibrose do pulmão)</w:t>
      </w:r>
      <w:r w:rsidR="005176BE" w:rsidRPr="008A3C80">
        <w:rPr>
          <w:rFonts w:ascii="Times New Roman" w:hAnsi="Times New Roman"/>
          <w:color w:val="000000" w:themeColor="text1"/>
          <w:sz w:val="24"/>
          <w:szCs w:val="24"/>
        </w:rPr>
        <w:t xml:space="preserve"> e é</w:t>
      </w:r>
      <w:r w:rsidR="00485036" w:rsidRPr="008A3C80">
        <w:rPr>
          <w:rFonts w:ascii="Times New Roman" w:hAnsi="Times New Roman"/>
          <w:color w:val="000000" w:themeColor="text1"/>
          <w:sz w:val="24"/>
          <w:szCs w:val="24"/>
        </w:rPr>
        <w:t xml:space="preserve"> classificado pela Agência Internacional de Pesquisa (IARC) no grupo 1 - os dos reconhecidamente cancerígenos para os seres humanos. Não foram identificados níveis seguros para a exposição às suas fibras</w:t>
      </w:r>
      <w:r w:rsidR="005176BE" w:rsidRPr="008A3C80">
        <w:rPr>
          <w:rFonts w:ascii="Times New Roman" w:hAnsi="Times New Roman"/>
          <w:color w:val="000000" w:themeColor="text1"/>
          <w:sz w:val="24"/>
          <w:szCs w:val="24"/>
        </w:rPr>
        <w:t xml:space="preserve"> (INCA)</w:t>
      </w:r>
      <w:r w:rsidR="005176BE" w:rsidRPr="008A3C80">
        <w:rPr>
          <w:rFonts w:ascii="Times New Roman" w:hAnsi="Times New Roman"/>
          <w:sz w:val="24"/>
          <w:szCs w:val="24"/>
          <w:vertAlign w:val="superscript"/>
        </w:rPr>
        <w:t>1</w:t>
      </w:r>
      <w:r w:rsidR="00D50163" w:rsidRPr="008A3C80">
        <w:rPr>
          <w:rFonts w:ascii="Times New Roman" w:hAnsi="Times New Roman"/>
          <w:sz w:val="24"/>
          <w:szCs w:val="24"/>
        </w:rPr>
        <w:t>.</w:t>
      </w:r>
      <w:r w:rsidR="005176BE" w:rsidRPr="008A3C80">
        <w:rPr>
          <w:rFonts w:ascii="Times New Roman" w:hAnsi="Times New Roman"/>
          <w:color w:val="000000" w:themeColor="text1"/>
          <w:sz w:val="24"/>
          <w:szCs w:val="24"/>
        </w:rPr>
        <w:t xml:space="preserve"> </w:t>
      </w:r>
      <w:r w:rsidR="003C2A5C" w:rsidRPr="008A3C80">
        <w:rPr>
          <w:rFonts w:ascii="Times New Roman" w:hAnsi="Times New Roman"/>
          <w:color w:val="000000" w:themeColor="text1"/>
          <w:sz w:val="24"/>
          <w:szCs w:val="24"/>
        </w:rPr>
        <w:t>A exposição ao amianto ocorre através da inalação de fibras no ar no ambiente de trabalho, do ar ambiente na vizinhança de fontes pontuais, como fábricas de amianto manipulação, ou do ar interior em habitação e edifícios que contêm friáveis ​​(quebradiço) materiais de amianto (</w:t>
      </w:r>
      <w:r w:rsidR="00DB647C" w:rsidRPr="008A3C80">
        <w:rPr>
          <w:rFonts w:ascii="Times New Roman" w:hAnsi="Times New Roman"/>
          <w:color w:val="000000" w:themeColor="text1"/>
          <w:sz w:val="24"/>
          <w:szCs w:val="24"/>
        </w:rPr>
        <w:t xml:space="preserve">WHO, </w:t>
      </w:r>
      <w:r w:rsidR="003C2A5C" w:rsidRPr="008A3C80">
        <w:rPr>
          <w:rFonts w:ascii="Times New Roman" w:hAnsi="Times New Roman"/>
          <w:color w:val="000000" w:themeColor="text1"/>
          <w:sz w:val="24"/>
          <w:szCs w:val="24"/>
        </w:rPr>
        <w:t>2014)</w:t>
      </w:r>
      <w:r w:rsidR="003C2A5C" w:rsidRPr="008A3C80">
        <w:rPr>
          <w:rFonts w:ascii="Times New Roman" w:hAnsi="Times New Roman"/>
          <w:sz w:val="24"/>
          <w:szCs w:val="24"/>
          <w:vertAlign w:val="superscript"/>
        </w:rPr>
        <w:t>2</w:t>
      </w:r>
      <w:r w:rsidR="00D50163" w:rsidRPr="008A3C80">
        <w:rPr>
          <w:rFonts w:ascii="Times New Roman" w:hAnsi="Times New Roman"/>
          <w:sz w:val="24"/>
          <w:szCs w:val="24"/>
        </w:rPr>
        <w:t>.</w:t>
      </w:r>
    </w:p>
    <w:p w:rsidR="00DA346A" w:rsidRPr="008A3C80" w:rsidRDefault="00DA346A"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O Brasil é um dos maiores produtores, consumidores e exportadores de amianto do mundo, que é utilizado em quase 3.000 produtos industriais, entre eles: telhas, caixas d'água, pastilhas e lonas para freios etc. </w:t>
      </w:r>
    </w:p>
    <w:p w:rsidR="00BB234F" w:rsidRPr="008A3C80" w:rsidRDefault="00BB234F" w:rsidP="008A3C80">
      <w:pPr>
        <w:autoSpaceDE w:val="0"/>
        <w:autoSpaceDN w:val="0"/>
        <w:adjustRightInd w:val="0"/>
        <w:spacing w:line="480" w:lineRule="auto"/>
        <w:ind w:firstLine="709"/>
        <w:jc w:val="both"/>
        <w:rPr>
          <w:rFonts w:ascii="Times New Roman" w:hAnsi="Times New Roman"/>
          <w:sz w:val="24"/>
          <w:szCs w:val="24"/>
        </w:rPr>
      </w:pPr>
      <w:r w:rsidRPr="008A3C80">
        <w:rPr>
          <w:rFonts w:ascii="Times New Roman" w:hAnsi="Times New Roman"/>
          <w:color w:val="000000" w:themeColor="text1"/>
          <w:sz w:val="24"/>
          <w:szCs w:val="24"/>
        </w:rPr>
        <w:t xml:space="preserve">Em 2011, o Brasil foi o terceiro produtor mundial de amianto, com classificação depois da Rússia e China (Departamento Nacional de Produção Mineral, 2012b; </w:t>
      </w:r>
      <w:proofErr w:type="spellStart"/>
      <w:r w:rsidRPr="008A3C80">
        <w:rPr>
          <w:rFonts w:ascii="Times New Roman" w:hAnsi="Times New Roman"/>
          <w:color w:val="000000" w:themeColor="text1"/>
          <w:sz w:val="24"/>
          <w:szCs w:val="24"/>
        </w:rPr>
        <w:t>Virta</w:t>
      </w:r>
      <w:proofErr w:type="spellEnd"/>
      <w:r w:rsidRPr="008A3C80">
        <w:rPr>
          <w:rFonts w:ascii="Times New Roman" w:hAnsi="Times New Roman"/>
          <w:color w:val="000000" w:themeColor="text1"/>
          <w:sz w:val="24"/>
          <w:szCs w:val="24"/>
        </w:rPr>
        <w:t>, 2012</w:t>
      </w:r>
      <w:r w:rsidRPr="008A3C80">
        <w:rPr>
          <w:rFonts w:ascii="Times New Roman" w:hAnsi="Times New Roman"/>
          <w:sz w:val="24"/>
          <w:szCs w:val="24"/>
        </w:rPr>
        <w:t>)</w:t>
      </w:r>
      <w:proofErr w:type="gramStart"/>
      <w:r w:rsidRPr="008A3C80">
        <w:rPr>
          <w:rFonts w:ascii="Times New Roman" w:hAnsi="Times New Roman"/>
          <w:sz w:val="24"/>
          <w:szCs w:val="24"/>
          <w:vertAlign w:val="superscript"/>
        </w:rPr>
        <w:t>4</w:t>
      </w:r>
      <w:proofErr w:type="gramEnd"/>
      <w:r w:rsidRPr="008A3C80">
        <w:rPr>
          <w:rFonts w:ascii="Times New Roman" w:hAnsi="Times New Roman"/>
          <w:sz w:val="24"/>
          <w:szCs w:val="24"/>
        </w:rPr>
        <w:t xml:space="preserve">. </w:t>
      </w:r>
    </w:p>
    <w:p w:rsidR="003F57E5" w:rsidRPr="008A3C80" w:rsidRDefault="00DA346A" w:rsidP="008A3C80">
      <w:pPr>
        <w:autoSpaceDE w:val="0"/>
        <w:autoSpaceDN w:val="0"/>
        <w:adjustRightInd w:val="0"/>
        <w:spacing w:before="240"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Por conta de suas propriedades e baixo custo de produção, é empregado intensivamente no </w:t>
      </w:r>
      <w:r w:rsidR="00541624" w:rsidRPr="008A3C80">
        <w:rPr>
          <w:rFonts w:ascii="Times New Roman" w:hAnsi="Times New Roman"/>
          <w:color w:val="000000" w:themeColor="text1"/>
          <w:sz w:val="24"/>
          <w:szCs w:val="24"/>
        </w:rPr>
        <w:t>país</w:t>
      </w:r>
      <w:r w:rsidRPr="008A3C80">
        <w:rPr>
          <w:rFonts w:ascii="Times New Roman" w:hAnsi="Times New Roman"/>
          <w:color w:val="000000" w:themeColor="text1"/>
          <w:sz w:val="24"/>
          <w:szCs w:val="24"/>
        </w:rPr>
        <w:t>, sendo, aproximadamente, mais de 90% do seu uso na indústria de cimento-amianto ou fibrocimento (telhas, caixas d'água etc.), menos de 5% em materiais de fricção (autopeças) (ABREA)</w:t>
      </w:r>
      <w:r w:rsidR="00311EDE" w:rsidRPr="008A3C80">
        <w:rPr>
          <w:rFonts w:ascii="Times New Roman" w:hAnsi="Times New Roman"/>
          <w:color w:val="000000" w:themeColor="text1"/>
          <w:sz w:val="24"/>
          <w:szCs w:val="24"/>
        </w:rPr>
        <w:t>.</w:t>
      </w:r>
      <w:r w:rsidRPr="008A3C80">
        <w:rPr>
          <w:rFonts w:ascii="Times New Roman" w:hAnsi="Times New Roman"/>
          <w:color w:val="000000" w:themeColor="text1"/>
          <w:sz w:val="24"/>
          <w:szCs w:val="24"/>
        </w:rPr>
        <w:t xml:space="preserve"> </w:t>
      </w:r>
    </w:p>
    <w:p w:rsidR="003C2A5C" w:rsidRPr="008A3C80" w:rsidRDefault="003C2A5C" w:rsidP="008A3C80">
      <w:pPr>
        <w:autoSpaceDE w:val="0"/>
        <w:autoSpaceDN w:val="0"/>
        <w:adjustRightInd w:val="0"/>
        <w:spacing w:line="480" w:lineRule="auto"/>
        <w:ind w:firstLine="709"/>
        <w:jc w:val="both"/>
        <w:rPr>
          <w:rFonts w:ascii="Times New Roman" w:hAnsi="Times New Roman"/>
          <w:color w:val="FF0000"/>
          <w:sz w:val="24"/>
          <w:szCs w:val="24"/>
        </w:rPr>
      </w:pPr>
      <w:r w:rsidRPr="008A3C80">
        <w:rPr>
          <w:rFonts w:ascii="Times New Roman" w:hAnsi="Times New Roman"/>
          <w:color w:val="000000" w:themeColor="text1"/>
          <w:sz w:val="24"/>
          <w:szCs w:val="24"/>
        </w:rPr>
        <w:t xml:space="preserve">Atualmente cerca de 125 milhões de pessoas no mundo estão expostas ao amianto no local de trabalho. Em 2004, o câncer de pulmão relacionado ao amianto, o mesotelioma e asbestose de exposições ocupacionais resultou em 107.000 mortes e 1.523.000 </w:t>
      </w:r>
      <w:proofErr w:type="spellStart"/>
      <w:r w:rsidR="00FE3308" w:rsidRPr="008A3C80">
        <w:rPr>
          <w:rFonts w:ascii="Times New Roman" w:hAnsi="Times New Roman"/>
          <w:color w:val="000000" w:themeColor="text1"/>
          <w:sz w:val="24"/>
          <w:szCs w:val="24"/>
        </w:rPr>
        <w:t>Disability</w:t>
      </w:r>
      <w:proofErr w:type="spellEnd"/>
      <w:r w:rsidR="00FE3308" w:rsidRPr="008A3C80">
        <w:rPr>
          <w:rFonts w:ascii="Times New Roman" w:hAnsi="Times New Roman"/>
          <w:color w:val="000000" w:themeColor="text1"/>
          <w:sz w:val="24"/>
          <w:szCs w:val="24"/>
        </w:rPr>
        <w:t xml:space="preserve"> </w:t>
      </w:r>
      <w:proofErr w:type="spellStart"/>
      <w:r w:rsidR="00FE3308" w:rsidRPr="008A3C80">
        <w:rPr>
          <w:rFonts w:ascii="Times New Roman" w:hAnsi="Times New Roman"/>
          <w:color w:val="000000" w:themeColor="text1"/>
          <w:sz w:val="24"/>
          <w:szCs w:val="24"/>
        </w:rPr>
        <w:t>Adjusted</w:t>
      </w:r>
      <w:proofErr w:type="spellEnd"/>
      <w:r w:rsidR="00FE3308" w:rsidRPr="008A3C80">
        <w:rPr>
          <w:rFonts w:ascii="Times New Roman" w:hAnsi="Times New Roman"/>
          <w:color w:val="000000" w:themeColor="text1"/>
          <w:sz w:val="24"/>
          <w:szCs w:val="24"/>
        </w:rPr>
        <w:t xml:space="preserve"> Life </w:t>
      </w:r>
      <w:proofErr w:type="spellStart"/>
      <w:r w:rsidR="00FE3308" w:rsidRPr="008A3C80">
        <w:rPr>
          <w:rFonts w:ascii="Times New Roman" w:hAnsi="Times New Roman"/>
          <w:color w:val="000000" w:themeColor="text1"/>
          <w:sz w:val="24"/>
          <w:szCs w:val="24"/>
        </w:rPr>
        <w:t>Years</w:t>
      </w:r>
      <w:proofErr w:type="spellEnd"/>
      <w:r w:rsidR="00FE3308" w:rsidRPr="008A3C80">
        <w:rPr>
          <w:rFonts w:ascii="Times New Roman" w:hAnsi="Times New Roman"/>
          <w:color w:val="000000" w:themeColor="text1"/>
          <w:sz w:val="24"/>
          <w:szCs w:val="24"/>
        </w:rPr>
        <w:t xml:space="preserve"> - </w:t>
      </w:r>
      <w:proofErr w:type="spellStart"/>
      <w:r w:rsidR="00FE3308" w:rsidRPr="008A3C80">
        <w:rPr>
          <w:rFonts w:ascii="Times New Roman" w:hAnsi="Times New Roman"/>
          <w:color w:val="000000" w:themeColor="text1"/>
          <w:sz w:val="24"/>
          <w:szCs w:val="24"/>
        </w:rPr>
        <w:t>DALYs</w:t>
      </w:r>
      <w:proofErr w:type="spellEnd"/>
      <w:r w:rsidR="00FE3308" w:rsidRPr="008A3C80">
        <w:rPr>
          <w:rFonts w:ascii="Times New Roman" w:hAnsi="Times New Roman"/>
          <w:color w:val="000000" w:themeColor="text1"/>
          <w:sz w:val="24"/>
          <w:szCs w:val="24"/>
        </w:rPr>
        <w:t xml:space="preserve"> </w:t>
      </w:r>
      <w:r w:rsidRPr="008A3C80">
        <w:rPr>
          <w:rFonts w:ascii="Times New Roman" w:hAnsi="Times New Roman"/>
          <w:color w:val="000000" w:themeColor="text1"/>
          <w:sz w:val="24"/>
          <w:szCs w:val="24"/>
        </w:rPr>
        <w:t>(</w:t>
      </w:r>
      <w:r w:rsidR="00FE3308" w:rsidRPr="008A3C80">
        <w:rPr>
          <w:rFonts w:ascii="Times New Roman" w:hAnsi="Times New Roman"/>
          <w:color w:val="000000" w:themeColor="text1"/>
          <w:sz w:val="24"/>
          <w:szCs w:val="24"/>
        </w:rPr>
        <w:t>anos de vida perdidos ajustados por incapacidade</w:t>
      </w:r>
      <w:r w:rsidRPr="008A3C80">
        <w:rPr>
          <w:rFonts w:ascii="Times New Roman" w:hAnsi="Times New Roman"/>
          <w:color w:val="000000" w:themeColor="text1"/>
          <w:sz w:val="24"/>
          <w:szCs w:val="24"/>
        </w:rPr>
        <w:t xml:space="preserve">). Além disso, vários milhares de mortes podem ser atribuídas a outras </w:t>
      </w:r>
      <w:r w:rsidRPr="008A3C80">
        <w:rPr>
          <w:rFonts w:ascii="Times New Roman" w:hAnsi="Times New Roman"/>
          <w:color w:val="000000" w:themeColor="text1"/>
          <w:sz w:val="24"/>
          <w:szCs w:val="24"/>
        </w:rPr>
        <w:lastRenderedPageBreak/>
        <w:t xml:space="preserve">doenças relacionadas ao amianto, bem como a exposição </w:t>
      </w:r>
      <w:proofErr w:type="gramStart"/>
      <w:r w:rsidRPr="008A3C80">
        <w:rPr>
          <w:rFonts w:ascii="Times New Roman" w:hAnsi="Times New Roman"/>
          <w:color w:val="000000" w:themeColor="text1"/>
          <w:sz w:val="24"/>
          <w:szCs w:val="24"/>
        </w:rPr>
        <w:t>não-ocupacional</w:t>
      </w:r>
      <w:proofErr w:type="gramEnd"/>
      <w:r w:rsidRPr="008A3C80">
        <w:rPr>
          <w:rFonts w:ascii="Times New Roman" w:hAnsi="Times New Roman"/>
          <w:color w:val="000000" w:themeColor="text1"/>
          <w:sz w:val="24"/>
          <w:szCs w:val="24"/>
        </w:rPr>
        <w:t xml:space="preserve"> ao amianto</w:t>
      </w:r>
      <w:r w:rsidRPr="008A3C80">
        <w:rPr>
          <w:rFonts w:ascii="Times New Roman" w:hAnsi="Times New Roman"/>
          <w:color w:val="FF0000"/>
          <w:sz w:val="24"/>
          <w:szCs w:val="24"/>
        </w:rPr>
        <w:t xml:space="preserve"> </w:t>
      </w:r>
      <w:r w:rsidRPr="008A3C80">
        <w:rPr>
          <w:rFonts w:ascii="Times New Roman" w:hAnsi="Times New Roman"/>
          <w:sz w:val="24"/>
          <w:szCs w:val="24"/>
        </w:rPr>
        <w:t>(</w:t>
      </w:r>
      <w:r w:rsidR="00DB647C" w:rsidRPr="008A3C80">
        <w:rPr>
          <w:rFonts w:ascii="Times New Roman" w:hAnsi="Times New Roman"/>
          <w:sz w:val="24"/>
          <w:szCs w:val="24"/>
        </w:rPr>
        <w:t xml:space="preserve">WHO, </w:t>
      </w:r>
      <w:r w:rsidRPr="008A3C80">
        <w:rPr>
          <w:rFonts w:ascii="Times New Roman" w:hAnsi="Times New Roman"/>
          <w:sz w:val="24"/>
          <w:szCs w:val="24"/>
        </w:rPr>
        <w:t>2014)</w:t>
      </w:r>
      <w:r w:rsidRPr="008A3C80">
        <w:rPr>
          <w:rFonts w:ascii="Times New Roman" w:hAnsi="Times New Roman"/>
          <w:sz w:val="24"/>
          <w:szCs w:val="24"/>
          <w:vertAlign w:val="superscript"/>
        </w:rPr>
        <w:t>2</w:t>
      </w:r>
      <w:r w:rsidR="00D50163" w:rsidRPr="008A3C80">
        <w:rPr>
          <w:rFonts w:ascii="Times New Roman" w:hAnsi="Times New Roman"/>
          <w:sz w:val="24"/>
          <w:szCs w:val="24"/>
        </w:rPr>
        <w:t>.</w:t>
      </w:r>
    </w:p>
    <w:p w:rsidR="00A1389A" w:rsidRPr="008A3C80" w:rsidRDefault="0031475D"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As principais doenças relacionadas ao trabalho estão listadas na Portaria do Ministério da Saúde No. 1.339/GM de 18/11/1999, e no Decreto do Ministério da Previdência Social No. 3.048 de 6/5/1999 (atualizado pelo Decreto No. 6.957, de 9/9/2009), sendo as relacionadas</w:t>
      </w:r>
      <w:r w:rsidR="00636BE2" w:rsidRPr="008A3C80">
        <w:rPr>
          <w:rFonts w:ascii="Times New Roman" w:hAnsi="Times New Roman"/>
          <w:color w:val="000000" w:themeColor="text1"/>
          <w:sz w:val="24"/>
          <w:szCs w:val="24"/>
        </w:rPr>
        <w:t xml:space="preserve"> ao amianto listadas</w:t>
      </w:r>
      <w:r w:rsidRPr="008A3C80">
        <w:rPr>
          <w:rFonts w:ascii="Times New Roman" w:hAnsi="Times New Roman"/>
          <w:color w:val="000000" w:themeColor="text1"/>
          <w:sz w:val="24"/>
          <w:szCs w:val="24"/>
        </w:rPr>
        <w:t xml:space="preserve"> abaixo:</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Neoplasia </w:t>
      </w:r>
      <w:r w:rsidR="00C339C8" w:rsidRPr="008A3C80">
        <w:rPr>
          <w:rFonts w:ascii="Times New Roman" w:hAnsi="Times New Roman"/>
          <w:color w:val="000000" w:themeColor="text1"/>
          <w:sz w:val="24"/>
          <w:szCs w:val="24"/>
        </w:rPr>
        <w:t xml:space="preserve">maligna do estômago (CID </w:t>
      </w:r>
      <w:proofErr w:type="gramStart"/>
      <w:r w:rsidR="00C339C8" w:rsidRPr="008A3C80">
        <w:rPr>
          <w:rFonts w:ascii="Times New Roman" w:hAnsi="Times New Roman"/>
          <w:color w:val="000000" w:themeColor="text1"/>
          <w:sz w:val="24"/>
          <w:szCs w:val="24"/>
        </w:rPr>
        <w:t>C16.</w:t>
      </w:r>
      <w:proofErr w:type="gramEnd"/>
      <w:r w:rsidR="00C339C8" w:rsidRPr="008A3C80">
        <w:rPr>
          <w:rFonts w:ascii="Times New Roman" w:hAnsi="Times New Roman"/>
          <w:color w:val="000000" w:themeColor="text1"/>
          <w:sz w:val="24"/>
          <w:szCs w:val="24"/>
        </w:rPr>
        <w:t xml:space="preserve">-); </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Neoplasia </w:t>
      </w:r>
      <w:r w:rsidR="00C339C8" w:rsidRPr="008A3C80">
        <w:rPr>
          <w:rFonts w:ascii="Times New Roman" w:hAnsi="Times New Roman"/>
          <w:color w:val="000000" w:themeColor="text1"/>
          <w:sz w:val="24"/>
          <w:szCs w:val="24"/>
        </w:rPr>
        <w:t>maligna da laringe (</w:t>
      </w:r>
      <w:proofErr w:type="gramStart"/>
      <w:r w:rsidR="00C339C8" w:rsidRPr="008A3C80">
        <w:rPr>
          <w:rFonts w:ascii="Times New Roman" w:hAnsi="Times New Roman"/>
          <w:color w:val="000000" w:themeColor="text1"/>
          <w:sz w:val="24"/>
          <w:szCs w:val="24"/>
        </w:rPr>
        <w:t>C32.</w:t>
      </w:r>
      <w:proofErr w:type="gramEnd"/>
      <w:r w:rsidR="00C339C8" w:rsidRPr="008A3C80">
        <w:rPr>
          <w:rFonts w:ascii="Times New Roman" w:hAnsi="Times New Roman"/>
          <w:color w:val="000000" w:themeColor="text1"/>
          <w:sz w:val="24"/>
          <w:szCs w:val="24"/>
        </w:rPr>
        <w:t xml:space="preserve">-); </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Neoplasia </w:t>
      </w:r>
      <w:r w:rsidR="00C339C8" w:rsidRPr="008A3C80">
        <w:rPr>
          <w:rFonts w:ascii="Times New Roman" w:hAnsi="Times New Roman"/>
          <w:color w:val="000000" w:themeColor="text1"/>
          <w:sz w:val="24"/>
          <w:szCs w:val="24"/>
        </w:rPr>
        <w:t>maligna dos brônquios e do pulmão (</w:t>
      </w:r>
      <w:proofErr w:type="gramStart"/>
      <w:r w:rsidR="00C339C8" w:rsidRPr="008A3C80">
        <w:rPr>
          <w:rFonts w:ascii="Times New Roman" w:hAnsi="Times New Roman"/>
          <w:color w:val="000000" w:themeColor="text1"/>
          <w:sz w:val="24"/>
          <w:szCs w:val="24"/>
        </w:rPr>
        <w:t>C34.</w:t>
      </w:r>
      <w:proofErr w:type="gramEnd"/>
      <w:r w:rsidR="00C339C8" w:rsidRPr="008A3C80">
        <w:rPr>
          <w:rFonts w:ascii="Times New Roman" w:hAnsi="Times New Roman"/>
          <w:color w:val="000000" w:themeColor="text1"/>
          <w:sz w:val="24"/>
          <w:szCs w:val="24"/>
        </w:rPr>
        <w:t xml:space="preserve">-); </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Mesotelioma </w:t>
      </w:r>
      <w:r w:rsidR="00C339C8" w:rsidRPr="008A3C80">
        <w:rPr>
          <w:rFonts w:ascii="Times New Roman" w:hAnsi="Times New Roman"/>
          <w:color w:val="000000" w:themeColor="text1"/>
          <w:sz w:val="24"/>
          <w:szCs w:val="24"/>
        </w:rPr>
        <w:t>de pleura (</w:t>
      </w:r>
      <w:proofErr w:type="gramStart"/>
      <w:r w:rsidR="00C339C8" w:rsidRPr="008A3C80">
        <w:rPr>
          <w:rFonts w:ascii="Times New Roman" w:hAnsi="Times New Roman"/>
          <w:color w:val="000000" w:themeColor="text1"/>
          <w:sz w:val="24"/>
          <w:szCs w:val="24"/>
        </w:rPr>
        <w:t>C45.</w:t>
      </w:r>
      <w:proofErr w:type="gramEnd"/>
      <w:r w:rsidR="00C339C8" w:rsidRPr="008A3C80">
        <w:rPr>
          <w:rFonts w:ascii="Times New Roman" w:hAnsi="Times New Roman"/>
          <w:color w:val="000000" w:themeColor="text1"/>
          <w:sz w:val="24"/>
          <w:szCs w:val="24"/>
        </w:rPr>
        <w:t xml:space="preserve">0); </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Mesotelioma </w:t>
      </w:r>
      <w:r w:rsidR="00C339C8" w:rsidRPr="008A3C80">
        <w:rPr>
          <w:rFonts w:ascii="Times New Roman" w:hAnsi="Times New Roman"/>
          <w:color w:val="000000" w:themeColor="text1"/>
          <w:sz w:val="24"/>
          <w:szCs w:val="24"/>
        </w:rPr>
        <w:t>do peritônio (</w:t>
      </w:r>
      <w:proofErr w:type="gramStart"/>
      <w:r w:rsidR="00C339C8" w:rsidRPr="008A3C80">
        <w:rPr>
          <w:rFonts w:ascii="Times New Roman" w:hAnsi="Times New Roman"/>
          <w:color w:val="000000" w:themeColor="text1"/>
          <w:sz w:val="24"/>
          <w:szCs w:val="24"/>
        </w:rPr>
        <w:t>C45.</w:t>
      </w:r>
      <w:proofErr w:type="gramEnd"/>
      <w:r w:rsidR="00C339C8" w:rsidRPr="008A3C80">
        <w:rPr>
          <w:rFonts w:ascii="Times New Roman" w:hAnsi="Times New Roman"/>
          <w:color w:val="000000" w:themeColor="text1"/>
          <w:sz w:val="24"/>
          <w:szCs w:val="24"/>
        </w:rPr>
        <w:t xml:space="preserve">1); </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Mesotelioma </w:t>
      </w:r>
      <w:r w:rsidR="00C339C8" w:rsidRPr="008A3C80">
        <w:rPr>
          <w:rFonts w:ascii="Times New Roman" w:hAnsi="Times New Roman"/>
          <w:color w:val="000000" w:themeColor="text1"/>
          <w:sz w:val="24"/>
          <w:szCs w:val="24"/>
        </w:rPr>
        <w:t>do pericárdio (</w:t>
      </w:r>
      <w:proofErr w:type="gramStart"/>
      <w:r w:rsidR="00C339C8" w:rsidRPr="008A3C80">
        <w:rPr>
          <w:rFonts w:ascii="Times New Roman" w:hAnsi="Times New Roman"/>
          <w:color w:val="000000" w:themeColor="text1"/>
          <w:sz w:val="24"/>
          <w:szCs w:val="24"/>
        </w:rPr>
        <w:t>C45.</w:t>
      </w:r>
      <w:proofErr w:type="gramEnd"/>
      <w:r w:rsidR="00C339C8" w:rsidRPr="008A3C80">
        <w:rPr>
          <w:rFonts w:ascii="Times New Roman" w:hAnsi="Times New Roman"/>
          <w:color w:val="000000" w:themeColor="text1"/>
          <w:sz w:val="24"/>
          <w:szCs w:val="24"/>
        </w:rPr>
        <w:t xml:space="preserve">2); </w:t>
      </w:r>
    </w:p>
    <w:p w:rsidR="00A1389A"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Placas </w:t>
      </w:r>
      <w:r w:rsidR="00C339C8" w:rsidRPr="008A3C80">
        <w:rPr>
          <w:rFonts w:ascii="Times New Roman" w:hAnsi="Times New Roman"/>
          <w:color w:val="000000" w:themeColor="text1"/>
          <w:sz w:val="24"/>
          <w:szCs w:val="24"/>
        </w:rPr>
        <w:t>epicárdicas ou pericárdicas (</w:t>
      </w:r>
      <w:proofErr w:type="gramStart"/>
      <w:r w:rsidR="00C339C8" w:rsidRPr="008A3C80">
        <w:rPr>
          <w:rFonts w:ascii="Times New Roman" w:hAnsi="Times New Roman"/>
          <w:color w:val="000000" w:themeColor="text1"/>
          <w:sz w:val="24"/>
          <w:szCs w:val="24"/>
        </w:rPr>
        <w:t>I34.</w:t>
      </w:r>
      <w:proofErr w:type="gramEnd"/>
      <w:r w:rsidR="00C339C8" w:rsidRPr="008A3C80">
        <w:rPr>
          <w:rFonts w:ascii="Times New Roman" w:hAnsi="Times New Roman"/>
          <w:color w:val="000000" w:themeColor="text1"/>
          <w:sz w:val="24"/>
          <w:szCs w:val="24"/>
        </w:rPr>
        <w:t xml:space="preserve">8); </w:t>
      </w:r>
    </w:p>
    <w:p w:rsidR="00D67E73"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proofErr w:type="spellStart"/>
      <w:r w:rsidRPr="008A3C80">
        <w:rPr>
          <w:rFonts w:ascii="Times New Roman" w:hAnsi="Times New Roman"/>
          <w:color w:val="000000" w:themeColor="text1"/>
          <w:sz w:val="24"/>
          <w:szCs w:val="24"/>
        </w:rPr>
        <w:t>Asbestose</w:t>
      </w:r>
      <w:proofErr w:type="spellEnd"/>
      <w:r w:rsidRPr="008A3C80">
        <w:rPr>
          <w:rFonts w:ascii="Times New Roman" w:hAnsi="Times New Roman"/>
          <w:color w:val="000000" w:themeColor="text1"/>
          <w:sz w:val="24"/>
          <w:szCs w:val="24"/>
        </w:rPr>
        <w:t xml:space="preserve"> </w:t>
      </w:r>
      <w:r w:rsidR="00C339C8" w:rsidRPr="008A3C80">
        <w:rPr>
          <w:rFonts w:ascii="Times New Roman" w:hAnsi="Times New Roman"/>
          <w:color w:val="000000" w:themeColor="text1"/>
          <w:sz w:val="24"/>
          <w:szCs w:val="24"/>
        </w:rPr>
        <w:t>(</w:t>
      </w:r>
      <w:proofErr w:type="gramStart"/>
      <w:r w:rsidR="00C339C8" w:rsidRPr="008A3C80">
        <w:rPr>
          <w:rFonts w:ascii="Times New Roman" w:hAnsi="Times New Roman"/>
          <w:color w:val="000000" w:themeColor="text1"/>
          <w:sz w:val="24"/>
          <w:szCs w:val="24"/>
        </w:rPr>
        <w:t>J61.</w:t>
      </w:r>
      <w:proofErr w:type="gramEnd"/>
      <w:r w:rsidR="00C339C8" w:rsidRPr="008A3C80">
        <w:rPr>
          <w:rFonts w:ascii="Times New Roman" w:hAnsi="Times New Roman"/>
          <w:color w:val="000000" w:themeColor="text1"/>
          <w:sz w:val="24"/>
          <w:szCs w:val="24"/>
        </w:rPr>
        <w:t>-)</w:t>
      </w:r>
      <w:r w:rsidR="00A1389A" w:rsidRPr="008A3C80">
        <w:rPr>
          <w:rFonts w:ascii="Times New Roman" w:hAnsi="Times New Roman"/>
          <w:color w:val="000000" w:themeColor="text1"/>
          <w:sz w:val="24"/>
          <w:szCs w:val="24"/>
        </w:rPr>
        <w:t>;</w:t>
      </w:r>
    </w:p>
    <w:p w:rsidR="00A1389A" w:rsidRPr="008A3C80" w:rsidRDefault="00D67E73"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Derrame Pleural (</w:t>
      </w:r>
      <w:proofErr w:type="gramStart"/>
      <w:r w:rsidRPr="008A3C80">
        <w:rPr>
          <w:rFonts w:ascii="Times New Roman" w:hAnsi="Times New Roman"/>
          <w:color w:val="000000" w:themeColor="text1"/>
          <w:sz w:val="24"/>
          <w:szCs w:val="24"/>
        </w:rPr>
        <w:t>J90.</w:t>
      </w:r>
      <w:proofErr w:type="gramEnd"/>
      <w:r w:rsidRPr="008A3C80">
        <w:rPr>
          <w:rFonts w:ascii="Times New Roman" w:hAnsi="Times New Roman"/>
          <w:color w:val="000000" w:themeColor="text1"/>
          <w:sz w:val="24"/>
          <w:szCs w:val="24"/>
        </w:rPr>
        <w:t>-) e</w:t>
      </w:r>
      <w:r w:rsidR="00C339C8" w:rsidRPr="008A3C80">
        <w:rPr>
          <w:rFonts w:ascii="Times New Roman" w:hAnsi="Times New Roman"/>
          <w:color w:val="000000" w:themeColor="text1"/>
          <w:sz w:val="24"/>
          <w:szCs w:val="24"/>
        </w:rPr>
        <w:t xml:space="preserve"> </w:t>
      </w:r>
    </w:p>
    <w:p w:rsidR="00C339C8" w:rsidRPr="008A3C80" w:rsidRDefault="002C4349" w:rsidP="0021779C">
      <w:pPr>
        <w:numPr>
          <w:ilvl w:val="0"/>
          <w:numId w:val="8"/>
        </w:num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Placas </w:t>
      </w:r>
      <w:r w:rsidR="00C339C8" w:rsidRPr="008A3C80">
        <w:rPr>
          <w:rFonts w:ascii="Times New Roman" w:hAnsi="Times New Roman"/>
          <w:color w:val="000000" w:themeColor="text1"/>
          <w:sz w:val="24"/>
          <w:szCs w:val="24"/>
        </w:rPr>
        <w:t>pleurais (</w:t>
      </w:r>
      <w:proofErr w:type="gramStart"/>
      <w:r w:rsidR="00C339C8" w:rsidRPr="008A3C80">
        <w:rPr>
          <w:rFonts w:ascii="Times New Roman" w:hAnsi="Times New Roman"/>
          <w:color w:val="000000" w:themeColor="text1"/>
          <w:sz w:val="24"/>
          <w:szCs w:val="24"/>
        </w:rPr>
        <w:t>J92.</w:t>
      </w:r>
      <w:proofErr w:type="gramEnd"/>
      <w:r w:rsidR="00C339C8" w:rsidRPr="008A3C80">
        <w:rPr>
          <w:rFonts w:ascii="Times New Roman" w:hAnsi="Times New Roman"/>
          <w:color w:val="000000" w:themeColor="text1"/>
          <w:sz w:val="24"/>
          <w:szCs w:val="24"/>
        </w:rPr>
        <w:t xml:space="preserve">-). </w:t>
      </w:r>
    </w:p>
    <w:p w:rsidR="00AB3658" w:rsidRPr="008A3C80" w:rsidRDefault="005F52CF"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sz w:val="24"/>
          <w:szCs w:val="24"/>
        </w:rPr>
        <w:t xml:space="preserve">O uso do amianto foi proibido em 52 </w:t>
      </w:r>
      <w:r w:rsidRPr="008A3C80">
        <w:rPr>
          <w:rFonts w:ascii="Times New Roman" w:hAnsi="Times New Roman"/>
          <w:color w:val="000000" w:themeColor="text1"/>
          <w:sz w:val="24"/>
          <w:szCs w:val="24"/>
        </w:rPr>
        <w:t xml:space="preserve">países </w:t>
      </w:r>
      <w:r w:rsidR="006313DB" w:rsidRPr="008A3C80">
        <w:rPr>
          <w:rFonts w:ascii="Times New Roman" w:hAnsi="Times New Roman"/>
          <w:color w:val="000000" w:themeColor="text1"/>
          <w:sz w:val="24"/>
          <w:szCs w:val="24"/>
        </w:rPr>
        <w:t xml:space="preserve">e no Brasil, </w:t>
      </w:r>
      <w:r w:rsidR="00DA1D9A" w:rsidRPr="008A3C80">
        <w:rPr>
          <w:rFonts w:ascii="Times New Roman" w:hAnsi="Times New Roman"/>
          <w:color w:val="000000" w:themeColor="text1"/>
          <w:sz w:val="24"/>
          <w:szCs w:val="24"/>
        </w:rPr>
        <w:t>há vários municípios e estados brasileiros que já possuem legislação restritiva ao uso do amianto</w:t>
      </w:r>
      <w:r w:rsidR="00AB3658" w:rsidRPr="008A3C80">
        <w:rPr>
          <w:rFonts w:ascii="Times New Roman" w:hAnsi="Times New Roman"/>
          <w:color w:val="000000" w:themeColor="text1"/>
          <w:sz w:val="24"/>
          <w:szCs w:val="24"/>
        </w:rPr>
        <w:t xml:space="preserve">. Embora tenha sido promulgada em  01/06/95 a lei nº 9055 "do uso controlado do amianto" pelo Congresso Nacional para disciplinar a extração, industrialização, utilização, </w:t>
      </w:r>
      <w:r w:rsidR="00AB3658" w:rsidRPr="008A3C80">
        <w:rPr>
          <w:rFonts w:ascii="Times New Roman" w:hAnsi="Times New Roman"/>
          <w:color w:val="000000" w:themeColor="text1"/>
          <w:sz w:val="24"/>
          <w:szCs w:val="24"/>
        </w:rPr>
        <w:lastRenderedPageBreak/>
        <w:t>comercialização e transporte do asbesto e dos produtos que o contenham, bem como das fibras naturais e artificiais, de qualquer origem, ela está sendo questionada no STF</w:t>
      </w:r>
      <w:r w:rsidR="00B953C0" w:rsidRPr="008A3C80">
        <w:rPr>
          <w:rFonts w:ascii="Times New Roman" w:hAnsi="Times New Roman"/>
          <w:color w:val="000000" w:themeColor="text1"/>
          <w:sz w:val="24"/>
          <w:szCs w:val="24"/>
        </w:rPr>
        <w:t xml:space="preserve"> </w:t>
      </w:r>
      <w:r w:rsidR="00AB3658" w:rsidRPr="008A3C80">
        <w:rPr>
          <w:rFonts w:ascii="Times New Roman" w:hAnsi="Times New Roman"/>
          <w:color w:val="000000" w:themeColor="text1"/>
          <w:sz w:val="24"/>
          <w:szCs w:val="24"/>
        </w:rPr>
        <w:t>- Supremo Tribunal Federal (ADI 4066) por entenderem os magistrados do trabalho (ANAMATRA) e os procuradores do trabalho (ANPT) que a lei é inconstitucional</w:t>
      </w:r>
      <w:r w:rsidR="00C65FD1" w:rsidRPr="008A3C80">
        <w:rPr>
          <w:rFonts w:ascii="Times New Roman" w:hAnsi="Times New Roman"/>
          <w:color w:val="000000" w:themeColor="text1"/>
          <w:sz w:val="24"/>
          <w:szCs w:val="24"/>
        </w:rPr>
        <w:t xml:space="preserve"> </w:t>
      </w:r>
      <w:r w:rsidR="00DA1D9A" w:rsidRPr="008A3C80">
        <w:rPr>
          <w:rFonts w:ascii="Times New Roman" w:hAnsi="Times New Roman"/>
          <w:sz w:val="24"/>
          <w:szCs w:val="24"/>
        </w:rPr>
        <w:t>(INCA, 2011)</w:t>
      </w:r>
      <w:proofErr w:type="gramStart"/>
      <w:r w:rsidR="00DA1D9A" w:rsidRPr="008A3C80">
        <w:rPr>
          <w:rFonts w:ascii="Times New Roman" w:hAnsi="Times New Roman"/>
          <w:sz w:val="24"/>
          <w:szCs w:val="24"/>
          <w:vertAlign w:val="superscript"/>
        </w:rPr>
        <w:t>1</w:t>
      </w:r>
      <w:proofErr w:type="gramEnd"/>
      <w:r w:rsidR="00AB3658" w:rsidRPr="008A3C80">
        <w:rPr>
          <w:rFonts w:ascii="Times New Roman" w:hAnsi="Times New Roman"/>
          <w:color w:val="000000" w:themeColor="text1"/>
          <w:sz w:val="24"/>
          <w:szCs w:val="24"/>
        </w:rPr>
        <w:t>. S</w:t>
      </w:r>
      <w:r w:rsidR="00641CFD" w:rsidRPr="008A3C80">
        <w:rPr>
          <w:rFonts w:ascii="Times New Roman" w:hAnsi="Times New Roman"/>
          <w:color w:val="000000" w:themeColor="text1"/>
          <w:sz w:val="24"/>
          <w:szCs w:val="24"/>
        </w:rPr>
        <w:t xml:space="preserve">eis estados </w:t>
      </w:r>
      <w:r w:rsidR="00AB3658" w:rsidRPr="008A3C80">
        <w:rPr>
          <w:rFonts w:ascii="Times New Roman" w:hAnsi="Times New Roman"/>
          <w:color w:val="000000" w:themeColor="text1"/>
          <w:sz w:val="24"/>
          <w:szCs w:val="24"/>
        </w:rPr>
        <w:t xml:space="preserve">no país já </w:t>
      </w:r>
      <w:r w:rsidR="00641CFD" w:rsidRPr="008A3C80">
        <w:rPr>
          <w:rFonts w:ascii="Times New Roman" w:hAnsi="Times New Roman"/>
          <w:color w:val="000000" w:themeColor="text1"/>
          <w:sz w:val="24"/>
          <w:szCs w:val="24"/>
        </w:rPr>
        <w:t>baniram a fibra: São Paulo, Rio de Janeiro, Pernambuco, Minas Gerais, Mato Grosso e Rio Grande do Sul. (</w:t>
      </w:r>
      <w:hyperlink r:id="rId7" w:tgtFrame="_blank" w:history="1">
        <w:r w:rsidR="00641CFD" w:rsidRPr="008A3C80">
          <w:rPr>
            <w:rFonts w:ascii="Times New Roman" w:hAnsi="Times New Roman"/>
            <w:color w:val="000000" w:themeColor="text1"/>
            <w:sz w:val="24"/>
            <w:szCs w:val="24"/>
          </w:rPr>
          <w:t>Informe ENSP</w:t>
        </w:r>
      </w:hyperlink>
      <w:r w:rsidR="00641CFD" w:rsidRPr="008A3C80">
        <w:rPr>
          <w:rFonts w:ascii="Times New Roman" w:hAnsi="Times New Roman"/>
          <w:color w:val="000000" w:themeColor="text1"/>
          <w:sz w:val="24"/>
          <w:szCs w:val="24"/>
        </w:rPr>
        <w:t>, 25/08/2014)</w:t>
      </w:r>
      <w:r w:rsidR="007B4FED" w:rsidRPr="008A3C80">
        <w:rPr>
          <w:rFonts w:ascii="Times New Roman" w:hAnsi="Times New Roman"/>
          <w:sz w:val="24"/>
          <w:szCs w:val="24"/>
          <w:vertAlign w:val="superscript"/>
        </w:rPr>
        <w:t>8</w:t>
      </w:r>
      <w:r w:rsidR="00AB3658" w:rsidRPr="008A3C80">
        <w:rPr>
          <w:rFonts w:ascii="Times New Roman" w:hAnsi="Times New Roman"/>
          <w:color w:val="000000" w:themeColor="text1"/>
          <w:sz w:val="24"/>
          <w:szCs w:val="24"/>
        </w:rPr>
        <w:t xml:space="preserve">. </w:t>
      </w:r>
    </w:p>
    <w:p w:rsidR="000C73EC" w:rsidRPr="008A3C80" w:rsidRDefault="00204E8A"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Outra legislação de interesse, a Portaria 1.851/ 96 do Ministério da Saúde, que obriga as empresas que lidam com amianto a encaminharam listagens de trabalhadores expostos aos riscos do amianto, segue suspensa por uma liminar do Superior Tribunal de Justiça (STJ). </w:t>
      </w:r>
      <w:r w:rsidR="009844F5" w:rsidRPr="008A3C80">
        <w:rPr>
          <w:rFonts w:ascii="Times New Roman" w:hAnsi="Times New Roman"/>
          <w:color w:val="000000" w:themeColor="text1"/>
          <w:sz w:val="24"/>
          <w:szCs w:val="24"/>
        </w:rPr>
        <w:t xml:space="preserve">As empresas que não cumprirem as determinações da portaria poderão ser autuadas pela legislação sanitária de cada estado. </w:t>
      </w:r>
    </w:p>
    <w:p w:rsidR="00C33C59" w:rsidRPr="008A3C80" w:rsidRDefault="00D50163"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Tendo em vista a importância do impacto do amianto na saúde </w:t>
      </w:r>
      <w:r w:rsidR="00263EDF" w:rsidRPr="008A3C80">
        <w:rPr>
          <w:rFonts w:ascii="Times New Roman" w:hAnsi="Times New Roman"/>
          <w:color w:val="000000" w:themeColor="text1"/>
          <w:sz w:val="24"/>
          <w:szCs w:val="24"/>
        </w:rPr>
        <w:t xml:space="preserve">dos trabalhadores este trabalho tem como objetivo caracterizar o perfil epidemiológico dos trabalhadores, utilizando dados notificados no </w:t>
      </w:r>
      <w:r w:rsidR="0005018D" w:rsidRPr="008A3C80">
        <w:rPr>
          <w:rFonts w:ascii="Times New Roman" w:hAnsi="Times New Roman"/>
          <w:color w:val="000000" w:themeColor="text1"/>
          <w:sz w:val="24"/>
          <w:szCs w:val="24"/>
        </w:rPr>
        <w:t>Sistema de Informação de Agravos de Notificação (SINAN)</w:t>
      </w:r>
      <w:r w:rsidR="00263EDF" w:rsidRPr="008A3C80">
        <w:rPr>
          <w:rFonts w:ascii="Times New Roman" w:hAnsi="Times New Roman"/>
          <w:color w:val="000000" w:themeColor="text1"/>
          <w:sz w:val="24"/>
          <w:szCs w:val="24"/>
        </w:rPr>
        <w:t xml:space="preserve"> referentes à asbestose no período de 2007 a 2013.</w:t>
      </w:r>
    </w:p>
    <w:p w:rsidR="00C33C59" w:rsidRPr="008A3C80" w:rsidRDefault="00C33C59" w:rsidP="00AB3658">
      <w:pPr>
        <w:autoSpaceDE w:val="0"/>
        <w:autoSpaceDN w:val="0"/>
        <w:adjustRightInd w:val="0"/>
        <w:spacing w:line="480" w:lineRule="auto"/>
        <w:jc w:val="both"/>
        <w:rPr>
          <w:rFonts w:ascii="Times New Roman" w:hAnsi="Times New Roman"/>
          <w:color w:val="000000" w:themeColor="text1"/>
          <w:sz w:val="24"/>
          <w:szCs w:val="24"/>
        </w:rPr>
      </w:pPr>
    </w:p>
    <w:p w:rsidR="00743CB3" w:rsidRPr="008A3C80" w:rsidRDefault="0023441F" w:rsidP="00AB3658">
      <w:pPr>
        <w:autoSpaceDE w:val="0"/>
        <w:autoSpaceDN w:val="0"/>
        <w:adjustRightInd w:val="0"/>
        <w:spacing w:line="480" w:lineRule="auto"/>
        <w:jc w:val="both"/>
        <w:rPr>
          <w:rFonts w:ascii="Times New Roman" w:hAnsi="Times New Roman"/>
          <w:b/>
          <w:color w:val="000000" w:themeColor="text1"/>
          <w:sz w:val="24"/>
          <w:szCs w:val="24"/>
        </w:rPr>
      </w:pPr>
      <w:r w:rsidRPr="008A3C80">
        <w:rPr>
          <w:rFonts w:ascii="Times New Roman" w:hAnsi="Times New Roman"/>
          <w:b/>
          <w:color w:val="000000" w:themeColor="text1"/>
          <w:sz w:val="24"/>
          <w:szCs w:val="24"/>
        </w:rPr>
        <w:t>MÉTODO UTILIZADO</w:t>
      </w:r>
    </w:p>
    <w:p w:rsidR="003370EA" w:rsidRPr="008A3C80" w:rsidRDefault="00BD2BC1"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Foram extraídos</w:t>
      </w:r>
      <w:r w:rsidR="00AD53BF" w:rsidRPr="008A3C80">
        <w:rPr>
          <w:rFonts w:ascii="Times New Roman" w:hAnsi="Times New Roman"/>
          <w:color w:val="000000" w:themeColor="text1"/>
          <w:sz w:val="24"/>
          <w:szCs w:val="24"/>
        </w:rPr>
        <w:t xml:space="preserve"> os casos de </w:t>
      </w:r>
      <w:r w:rsidR="00B40551" w:rsidRPr="008A3C80">
        <w:rPr>
          <w:rFonts w:ascii="Times New Roman" w:hAnsi="Times New Roman"/>
          <w:color w:val="000000" w:themeColor="text1"/>
          <w:sz w:val="24"/>
          <w:szCs w:val="24"/>
        </w:rPr>
        <w:t>asbestose</w:t>
      </w:r>
      <w:r w:rsidR="00AD53BF" w:rsidRPr="008A3C80">
        <w:rPr>
          <w:rFonts w:ascii="Times New Roman" w:hAnsi="Times New Roman"/>
          <w:color w:val="000000" w:themeColor="text1"/>
          <w:sz w:val="24"/>
          <w:szCs w:val="24"/>
        </w:rPr>
        <w:t xml:space="preserve"> </w:t>
      </w:r>
      <w:r w:rsidRPr="008A3C80">
        <w:rPr>
          <w:rFonts w:ascii="Times New Roman" w:hAnsi="Times New Roman"/>
          <w:color w:val="000000" w:themeColor="text1"/>
          <w:sz w:val="24"/>
          <w:szCs w:val="24"/>
        </w:rPr>
        <w:t>notifica</w:t>
      </w:r>
      <w:r w:rsidR="00AD53BF" w:rsidRPr="008A3C80">
        <w:rPr>
          <w:rFonts w:ascii="Times New Roman" w:hAnsi="Times New Roman"/>
          <w:color w:val="000000" w:themeColor="text1"/>
          <w:sz w:val="24"/>
          <w:szCs w:val="24"/>
        </w:rPr>
        <w:t xml:space="preserve">dos no </w:t>
      </w:r>
      <w:r w:rsidR="00B40551" w:rsidRPr="008A3C80">
        <w:rPr>
          <w:rFonts w:ascii="Times New Roman" w:hAnsi="Times New Roman"/>
          <w:color w:val="000000" w:themeColor="text1"/>
          <w:sz w:val="24"/>
          <w:szCs w:val="24"/>
        </w:rPr>
        <w:t>Sistema de Informação de Agravos de Notificação (</w:t>
      </w:r>
      <w:r w:rsidR="00AD53BF" w:rsidRPr="008A3C80">
        <w:rPr>
          <w:rFonts w:ascii="Times New Roman" w:hAnsi="Times New Roman"/>
          <w:color w:val="000000" w:themeColor="text1"/>
          <w:sz w:val="24"/>
          <w:szCs w:val="24"/>
        </w:rPr>
        <w:t>SINAN</w:t>
      </w:r>
      <w:r w:rsidR="00B40551" w:rsidRPr="008A3C80">
        <w:rPr>
          <w:rFonts w:ascii="Times New Roman" w:hAnsi="Times New Roman"/>
          <w:color w:val="000000" w:themeColor="text1"/>
          <w:sz w:val="24"/>
          <w:szCs w:val="24"/>
        </w:rPr>
        <w:t>)</w:t>
      </w:r>
      <w:r w:rsidR="00AD53BF" w:rsidRPr="008A3C80">
        <w:rPr>
          <w:rFonts w:ascii="Times New Roman" w:hAnsi="Times New Roman"/>
          <w:color w:val="000000" w:themeColor="text1"/>
          <w:sz w:val="24"/>
          <w:szCs w:val="24"/>
        </w:rPr>
        <w:t xml:space="preserve">, </w:t>
      </w:r>
      <w:r w:rsidR="004D7172" w:rsidRPr="008A3C80">
        <w:rPr>
          <w:rFonts w:ascii="Times New Roman" w:hAnsi="Times New Roman"/>
          <w:color w:val="000000" w:themeColor="text1"/>
          <w:sz w:val="24"/>
          <w:szCs w:val="24"/>
        </w:rPr>
        <w:t xml:space="preserve">conforme a </w:t>
      </w:r>
      <w:r w:rsidR="00B40551" w:rsidRPr="008A3C80">
        <w:rPr>
          <w:rFonts w:ascii="Times New Roman" w:hAnsi="Times New Roman"/>
          <w:color w:val="000000" w:themeColor="text1"/>
          <w:sz w:val="24"/>
          <w:szCs w:val="24"/>
        </w:rPr>
        <w:t>ficha de investigação de Doenças Relacionadas ao T</w:t>
      </w:r>
      <w:r w:rsidR="00AD53BF" w:rsidRPr="008A3C80">
        <w:rPr>
          <w:rFonts w:ascii="Times New Roman" w:hAnsi="Times New Roman"/>
          <w:color w:val="000000" w:themeColor="text1"/>
          <w:sz w:val="24"/>
          <w:szCs w:val="24"/>
        </w:rPr>
        <w:t>rabalho</w:t>
      </w:r>
      <w:r w:rsidR="00B40551" w:rsidRPr="008A3C80">
        <w:rPr>
          <w:rFonts w:ascii="Times New Roman" w:hAnsi="Times New Roman"/>
          <w:color w:val="000000" w:themeColor="text1"/>
          <w:sz w:val="24"/>
          <w:szCs w:val="24"/>
        </w:rPr>
        <w:t>/Pneumoconiose</w:t>
      </w:r>
      <w:r w:rsidR="00AD53BF" w:rsidRPr="008A3C80">
        <w:rPr>
          <w:rFonts w:ascii="Times New Roman" w:hAnsi="Times New Roman"/>
          <w:color w:val="000000" w:themeColor="text1"/>
          <w:sz w:val="24"/>
          <w:szCs w:val="24"/>
        </w:rPr>
        <w:t xml:space="preserve">, com </w:t>
      </w:r>
      <w:r w:rsidR="008C1958" w:rsidRPr="008A3C80">
        <w:rPr>
          <w:rFonts w:ascii="Times New Roman" w:hAnsi="Times New Roman"/>
          <w:color w:val="000000" w:themeColor="text1"/>
          <w:sz w:val="24"/>
          <w:szCs w:val="24"/>
        </w:rPr>
        <w:t>seleção para o diagnóstico específico</w:t>
      </w:r>
      <w:r w:rsidR="00A969F3" w:rsidRPr="008A3C80">
        <w:rPr>
          <w:rFonts w:ascii="Times New Roman" w:hAnsi="Times New Roman"/>
          <w:color w:val="000000" w:themeColor="text1"/>
          <w:sz w:val="24"/>
          <w:szCs w:val="24"/>
        </w:rPr>
        <w:t xml:space="preserve">, conforme a Classificação Estatística Internacional de Doenças e Problemas Relacionados à Saúde – Décima Revisão (CID 10): mesotelioma (capítulo II, categoria </w:t>
      </w:r>
      <w:r w:rsidR="00A969F3" w:rsidRPr="008A3C80">
        <w:rPr>
          <w:rFonts w:ascii="Times New Roman" w:hAnsi="Times New Roman"/>
          <w:color w:val="000000" w:themeColor="text1"/>
          <w:sz w:val="24"/>
          <w:szCs w:val="24"/>
        </w:rPr>
        <w:lastRenderedPageBreak/>
        <w:t>C45); pneumoniose devido a amianto e outras fibras minerais (capítulo X, categoria J61); e placas pleurais (capítulo X, categoria</w:t>
      </w:r>
      <w:r w:rsidR="00B40551" w:rsidRPr="008A3C80">
        <w:rPr>
          <w:rFonts w:ascii="Times New Roman" w:hAnsi="Times New Roman"/>
          <w:color w:val="000000" w:themeColor="text1"/>
          <w:sz w:val="24"/>
          <w:szCs w:val="24"/>
        </w:rPr>
        <w:t xml:space="preserve"> J92</w:t>
      </w:r>
      <w:r w:rsidR="00A969F3" w:rsidRPr="008A3C80">
        <w:rPr>
          <w:rFonts w:ascii="Times New Roman" w:hAnsi="Times New Roman"/>
          <w:color w:val="000000" w:themeColor="text1"/>
          <w:sz w:val="24"/>
          <w:szCs w:val="24"/>
        </w:rPr>
        <w:t>)</w:t>
      </w:r>
      <w:r w:rsidR="004D7172" w:rsidRPr="008A3C80">
        <w:rPr>
          <w:rFonts w:ascii="Times New Roman" w:hAnsi="Times New Roman"/>
          <w:color w:val="000000" w:themeColor="text1"/>
          <w:sz w:val="24"/>
          <w:szCs w:val="24"/>
        </w:rPr>
        <w:t xml:space="preserve">. Foram utilizados os programas </w:t>
      </w:r>
      <w:r w:rsidR="003E1F4F" w:rsidRPr="008A3C80">
        <w:rPr>
          <w:rFonts w:ascii="Times New Roman" w:hAnsi="Times New Roman"/>
          <w:i/>
          <w:color w:val="000000" w:themeColor="text1"/>
          <w:sz w:val="24"/>
          <w:szCs w:val="24"/>
        </w:rPr>
        <w:t>Tabwin</w:t>
      </w:r>
      <w:r w:rsidR="003E1F4F" w:rsidRPr="008A3C80">
        <w:rPr>
          <w:rFonts w:ascii="Times New Roman" w:hAnsi="Times New Roman"/>
          <w:color w:val="000000" w:themeColor="text1"/>
          <w:sz w:val="24"/>
          <w:szCs w:val="24"/>
        </w:rPr>
        <w:t xml:space="preserve"> e </w:t>
      </w:r>
      <w:r w:rsidR="004D7172" w:rsidRPr="008A3C80">
        <w:rPr>
          <w:rFonts w:ascii="Times New Roman" w:hAnsi="Times New Roman"/>
          <w:i/>
          <w:color w:val="000000" w:themeColor="text1"/>
          <w:sz w:val="24"/>
          <w:szCs w:val="24"/>
        </w:rPr>
        <w:t>Excel</w:t>
      </w:r>
      <w:r w:rsidR="003E1F4F" w:rsidRPr="008A3C80">
        <w:rPr>
          <w:rFonts w:ascii="Times New Roman" w:hAnsi="Times New Roman"/>
          <w:color w:val="000000" w:themeColor="text1"/>
          <w:sz w:val="24"/>
          <w:szCs w:val="24"/>
        </w:rPr>
        <w:t xml:space="preserve"> para extração e tabulação dos dados</w:t>
      </w:r>
      <w:r w:rsidR="00B87D99" w:rsidRPr="008A3C80">
        <w:rPr>
          <w:rFonts w:ascii="Times New Roman" w:hAnsi="Times New Roman"/>
          <w:color w:val="000000" w:themeColor="text1"/>
          <w:sz w:val="24"/>
          <w:szCs w:val="24"/>
        </w:rPr>
        <w:t>, com atualização do banco de dados em 14/07/2014</w:t>
      </w:r>
      <w:r w:rsidR="00A969F3" w:rsidRPr="008A3C80">
        <w:rPr>
          <w:rFonts w:ascii="Times New Roman" w:hAnsi="Times New Roman"/>
          <w:color w:val="000000" w:themeColor="text1"/>
          <w:sz w:val="24"/>
          <w:szCs w:val="24"/>
        </w:rPr>
        <w:t>.</w:t>
      </w:r>
      <w:r w:rsidR="004D7172" w:rsidRPr="008A3C80">
        <w:rPr>
          <w:rFonts w:ascii="Times New Roman" w:hAnsi="Times New Roman"/>
          <w:color w:val="000000" w:themeColor="text1"/>
          <w:sz w:val="24"/>
          <w:szCs w:val="24"/>
        </w:rPr>
        <w:t xml:space="preserve"> </w:t>
      </w:r>
    </w:p>
    <w:p w:rsidR="0023441F" w:rsidRPr="008A3C80" w:rsidRDefault="0023441F" w:rsidP="00A9175A">
      <w:pPr>
        <w:autoSpaceDE w:val="0"/>
        <w:autoSpaceDN w:val="0"/>
        <w:adjustRightInd w:val="0"/>
        <w:spacing w:line="480" w:lineRule="auto"/>
        <w:jc w:val="both"/>
        <w:rPr>
          <w:rFonts w:ascii="Times New Roman" w:hAnsi="Times New Roman"/>
          <w:color w:val="000000" w:themeColor="text1"/>
          <w:sz w:val="24"/>
          <w:szCs w:val="24"/>
        </w:rPr>
      </w:pPr>
    </w:p>
    <w:p w:rsidR="00743CB3" w:rsidRPr="008A3C80" w:rsidRDefault="0023441F" w:rsidP="00BD2BC1">
      <w:pPr>
        <w:numPr>
          <w:ilvl w:val="0"/>
          <w:numId w:val="6"/>
        </w:numPr>
        <w:autoSpaceDE w:val="0"/>
        <w:autoSpaceDN w:val="0"/>
        <w:adjustRightInd w:val="0"/>
        <w:spacing w:line="480" w:lineRule="auto"/>
        <w:ind w:left="1066" w:hanging="357"/>
        <w:jc w:val="both"/>
        <w:rPr>
          <w:rFonts w:ascii="Times New Roman" w:hAnsi="Times New Roman"/>
          <w:b/>
          <w:color w:val="000000" w:themeColor="text1"/>
          <w:sz w:val="24"/>
          <w:szCs w:val="24"/>
        </w:rPr>
      </w:pPr>
      <w:r w:rsidRPr="008A3C80">
        <w:rPr>
          <w:rFonts w:ascii="Times New Roman" w:hAnsi="Times New Roman"/>
          <w:b/>
          <w:color w:val="000000" w:themeColor="text1"/>
          <w:sz w:val="24"/>
          <w:szCs w:val="24"/>
        </w:rPr>
        <w:t>RESULTADOS E DISCUSSÃO</w:t>
      </w:r>
    </w:p>
    <w:p w:rsidR="009C414C" w:rsidRPr="008A3C80" w:rsidRDefault="002E264B"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Os casos notificados no SINAN, no período de 2007 a 2013, totalizaram </w:t>
      </w:r>
      <w:r w:rsidR="00F33E94" w:rsidRPr="008A3C80">
        <w:rPr>
          <w:rFonts w:ascii="Times New Roman" w:hAnsi="Times New Roman"/>
          <w:color w:val="000000" w:themeColor="text1"/>
          <w:sz w:val="24"/>
          <w:szCs w:val="24"/>
        </w:rPr>
        <w:t>2286 registros de pneumoconiose relacionada ao trabalho</w:t>
      </w:r>
      <w:r w:rsidR="00015D26" w:rsidRPr="008A3C80">
        <w:rPr>
          <w:rFonts w:ascii="Times New Roman" w:hAnsi="Times New Roman"/>
          <w:color w:val="000000" w:themeColor="text1"/>
          <w:sz w:val="24"/>
          <w:szCs w:val="24"/>
        </w:rPr>
        <w:t xml:space="preserve">, com </w:t>
      </w:r>
      <w:r w:rsidR="00B704A3" w:rsidRPr="008A3C80">
        <w:rPr>
          <w:rFonts w:ascii="Times New Roman" w:hAnsi="Times New Roman"/>
          <w:color w:val="000000" w:themeColor="text1"/>
          <w:sz w:val="24"/>
          <w:szCs w:val="24"/>
        </w:rPr>
        <w:t>119</w:t>
      </w:r>
      <w:r w:rsidR="00D47917" w:rsidRPr="008A3C80">
        <w:rPr>
          <w:rFonts w:ascii="Times New Roman" w:hAnsi="Times New Roman"/>
          <w:color w:val="000000" w:themeColor="text1"/>
          <w:sz w:val="24"/>
          <w:szCs w:val="24"/>
        </w:rPr>
        <w:t>2</w:t>
      </w:r>
      <w:r w:rsidR="00B704A3" w:rsidRPr="008A3C80">
        <w:rPr>
          <w:rFonts w:ascii="Times New Roman" w:hAnsi="Times New Roman"/>
          <w:color w:val="000000" w:themeColor="text1"/>
          <w:sz w:val="24"/>
          <w:szCs w:val="24"/>
        </w:rPr>
        <w:t xml:space="preserve"> </w:t>
      </w:r>
      <w:r w:rsidR="00BE7088" w:rsidRPr="008A3C80">
        <w:rPr>
          <w:rFonts w:ascii="Times New Roman" w:hAnsi="Times New Roman"/>
          <w:color w:val="000000" w:themeColor="text1"/>
          <w:sz w:val="24"/>
          <w:szCs w:val="24"/>
        </w:rPr>
        <w:t xml:space="preserve">casos </w:t>
      </w:r>
      <w:r w:rsidR="00B704A3" w:rsidRPr="008A3C80">
        <w:rPr>
          <w:rFonts w:ascii="Times New Roman" w:hAnsi="Times New Roman"/>
          <w:color w:val="000000" w:themeColor="text1"/>
          <w:sz w:val="24"/>
          <w:szCs w:val="24"/>
        </w:rPr>
        <w:t>diagn</w:t>
      </w:r>
      <w:r w:rsidR="00E31A51" w:rsidRPr="008A3C80">
        <w:rPr>
          <w:rFonts w:ascii="Times New Roman" w:hAnsi="Times New Roman"/>
          <w:color w:val="000000" w:themeColor="text1"/>
          <w:sz w:val="24"/>
          <w:szCs w:val="24"/>
        </w:rPr>
        <w:t>o</w:t>
      </w:r>
      <w:r w:rsidR="00B704A3" w:rsidRPr="008A3C80">
        <w:rPr>
          <w:rFonts w:ascii="Times New Roman" w:hAnsi="Times New Roman"/>
          <w:color w:val="000000" w:themeColor="text1"/>
          <w:sz w:val="24"/>
          <w:szCs w:val="24"/>
        </w:rPr>
        <w:t xml:space="preserve">sticados </w:t>
      </w:r>
      <w:r w:rsidR="00E31A51" w:rsidRPr="008A3C80">
        <w:rPr>
          <w:rFonts w:ascii="Times New Roman" w:hAnsi="Times New Roman"/>
          <w:color w:val="000000" w:themeColor="text1"/>
          <w:sz w:val="24"/>
          <w:szCs w:val="24"/>
        </w:rPr>
        <w:t>especificamente</w:t>
      </w:r>
      <w:r w:rsidR="00B704A3" w:rsidRPr="008A3C80">
        <w:rPr>
          <w:rFonts w:ascii="Times New Roman" w:hAnsi="Times New Roman"/>
          <w:color w:val="000000" w:themeColor="text1"/>
          <w:sz w:val="24"/>
          <w:szCs w:val="24"/>
        </w:rPr>
        <w:t xml:space="preserve"> para a asbestose</w:t>
      </w:r>
      <w:r w:rsidR="00BE7088" w:rsidRPr="008A3C80">
        <w:rPr>
          <w:rFonts w:ascii="Times New Roman" w:hAnsi="Times New Roman"/>
          <w:color w:val="000000" w:themeColor="text1"/>
          <w:sz w:val="24"/>
          <w:szCs w:val="24"/>
        </w:rPr>
        <w:t xml:space="preserve"> (CID10</w:t>
      </w:r>
      <w:r w:rsidR="0058343E" w:rsidRPr="008A3C80">
        <w:rPr>
          <w:rFonts w:ascii="Times New Roman" w:hAnsi="Times New Roman"/>
          <w:color w:val="000000" w:themeColor="text1"/>
          <w:sz w:val="24"/>
          <w:szCs w:val="24"/>
        </w:rPr>
        <w:t xml:space="preserve"> - </w:t>
      </w:r>
      <w:r w:rsidR="00BE7088" w:rsidRPr="008A3C80">
        <w:rPr>
          <w:rFonts w:ascii="Times New Roman" w:hAnsi="Times New Roman"/>
          <w:color w:val="000000" w:themeColor="text1"/>
          <w:sz w:val="24"/>
          <w:szCs w:val="24"/>
        </w:rPr>
        <w:t>C45, J61 e J92)</w:t>
      </w:r>
      <w:r w:rsidR="00B704A3" w:rsidRPr="008A3C80">
        <w:rPr>
          <w:rFonts w:ascii="Times New Roman" w:hAnsi="Times New Roman"/>
          <w:color w:val="000000" w:themeColor="text1"/>
          <w:sz w:val="24"/>
          <w:szCs w:val="24"/>
        </w:rPr>
        <w:t>.</w:t>
      </w:r>
      <w:r w:rsidR="00C173C9" w:rsidRPr="008A3C80">
        <w:rPr>
          <w:rFonts w:ascii="Times New Roman" w:hAnsi="Times New Roman"/>
          <w:color w:val="000000" w:themeColor="text1"/>
          <w:sz w:val="24"/>
          <w:szCs w:val="24"/>
        </w:rPr>
        <w:t xml:space="preserve"> </w:t>
      </w:r>
      <w:r w:rsidR="00BA619D" w:rsidRPr="008A3C80">
        <w:rPr>
          <w:rFonts w:ascii="Times New Roman" w:hAnsi="Times New Roman"/>
          <w:color w:val="000000" w:themeColor="text1"/>
          <w:sz w:val="24"/>
          <w:szCs w:val="24"/>
        </w:rPr>
        <w:t xml:space="preserve">O município que mais notificou </w:t>
      </w:r>
      <w:r w:rsidR="00B44C23" w:rsidRPr="008A3C80">
        <w:rPr>
          <w:rFonts w:ascii="Times New Roman" w:hAnsi="Times New Roman"/>
          <w:color w:val="000000" w:themeColor="text1"/>
          <w:sz w:val="24"/>
          <w:szCs w:val="24"/>
        </w:rPr>
        <w:t xml:space="preserve">no período do estudo </w:t>
      </w:r>
      <w:r w:rsidR="00BA619D" w:rsidRPr="008A3C80">
        <w:rPr>
          <w:rFonts w:ascii="Times New Roman" w:hAnsi="Times New Roman"/>
          <w:color w:val="000000" w:themeColor="text1"/>
          <w:sz w:val="24"/>
          <w:szCs w:val="24"/>
        </w:rPr>
        <w:t>foi Campinas/SP com 1078 registros (90,4%)</w:t>
      </w:r>
      <w:r w:rsidR="00DD178E" w:rsidRPr="008A3C80">
        <w:rPr>
          <w:rFonts w:ascii="Times New Roman" w:hAnsi="Times New Roman"/>
          <w:color w:val="000000" w:themeColor="text1"/>
          <w:sz w:val="24"/>
          <w:szCs w:val="24"/>
        </w:rPr>
        <w:t>, com grande número de notificações no ano de 2008 (618 casos) e 2011 (294 casos)</w:t>
      </w:r>
      <w:r w:rsidR="00BA619D" w:rsidRPr="008A3C80">
        <w:rPr>
          <w:rFonts w:ascii="Times New Roman" w:hAnsi="Times New Roman"/>
          <w:color w:val="000000" w:themeColor="text1"/>
          <w:sz w:val="24"/>
          <w:szCs w:val="24"/>
        </w:rPr>
        <w:t>.</w:t>
      </w:r>
      <w:r w:rsidR="00DD178E" w:rsidRPr="008A3C80">
        <w:rPr>
          <w:rFonts w:ascii="Times New Roman" w:hAnsi="Times New Roman"/>
          <w:color w:val="000000" w:themeColor="text1"/>
          <w:sz w:val="24"/>
          <w:szCs w:val="24"/>
        </w:rPr>
        <w:t xml:space="preserve"> Os outros municípios notificantes foram: Rio de </w:t>
      </w:r>
      <w:r w:rsidR="00394250" w:rsidRPr="008A3C80">
        <w:rPr>
          <w:rFonts w:ascii="Times New Roman" w:hAnsi="Times New Roman"/>
          <w:color w:val="000000" w:themeColor="text1"/>
          <w:sz w:val="24"/>
          <w:szCs w:val="24"/>
        </w:rPr>
        <w:t>Janeiro,</w:t>
      </w:r>
      <w:r w:rsidR="00DD178E" w:rsidRPr="008A3C80">
        <w:rPr>
          <w:rFonts w:ascii="Times New Roman" w:hAnsi="Times New Roman"/>
          <w:color w:val="000000" w:themeColor="text1"/>
          <w:sz w:val="24"/>
          <w:szCs w:val="24"/>
        </w:rPr>
        <w:t xml:space="preserve"> Osasco, Recife</w:t>
      </w:r>
      <w:r w:rsidR="00B51C23" w:rsidRPr="008A3C80">
        <w:rPr>
          <w:rFonts w:ascii="Times New Roman" w:hAnsi="Times New Roman"/>
          <w:color w:val="000000" w:themeColor="text1"/>
          <w:sz w:val="24"/>
          <w:szCs w:val="24"/>
        </w:rPr>
        <w:t>,</w:t>
      </w:r>
      <w:r w:rsidR="00DD178E" w:rsidRPr="008A3C80">
        <w:rPr>
          <w:rFonts w:ascii="Times New Roman" w:hAnsi="Times New Roman"/>
          <w:color w:val="000000" w:themeColor="text1"/>
          <w:sz w:val="24"/>
          <w:szCs w:val="24"/>
        </w:rPr>
        <w:t xml:space="preserve"> </w:t>
      </w:r>
      <w:r w:rsidR="00473C5D" w:rsidRPr="008A3C80">
        <w:rPr>
          <w:rFonts w:ascii="Times New Roman" w:hAnsi="Times New Roman"/>
          <w:color w:val="000000" w:themeColor="text1"/>
          <w:sz w:val="24"/>
          <w:szCs w:val="24"/>
        </w:rPr>
        <w:t>Belo Horizonte, São Paulo, São José dos Campos</w:t>
      </w:r>
      <w:r w:rsidR="00D80326" w:rsidRPr="008A3C80">
        <w:rPr>
          <w:rFonts w:ascii="Times New Roman" w:hAnsi="Times New Roman"/>
          <w:color w:val="000000" w:themeColor="text1"/>
          <w:sz w:val="24"/>
          <w:szCs w:val="24"/>
        </w:rPr>
        <w:t>,</w:t>
      </w:r>
      <w:r w:rsidR="00473C5D" w:rsidRPr="008A3C80">
        <w:rPr>
          <w:rFonts w:ascii="Times New Roman" w:hAnsi="Times New Roman"/>
          <w:color w:val="000000" w:themeColor="text1"/>
          <w:sz w:val="24"/>
          <w:szCs w:val="24"/>
        </w:rPr>
        <w:t xml:space="preserve"> Curitiba</w:t>
      </w:r>
      <w:r w:rsidR="00B51C23" w:rsidRPr="008A3C80">
        <w:rPr>
          <w:rFonts w:ascii="Times New Roman" w:hAnsi="Times New Roman"/>
          <w:color w:val="000000" w:themeColor="text1"/>
          <w:sz w:val="24"/>
          <w:szCs w:val="24"/>
        </w:rPr>
        <w:t>,</w:t>
      </w:r>
      <w:r w:rsidR="00473C5D" w:rsidRPr="008A3C80">
        <w:rPr>
          <w:rFonts w:ascii="Times New Roman" w:hAnsi="Times New Roman"/>
          <w:color w:val="000000" w:themeColor="text1"/>
          <w:sz w:val="24"/>
          <w:szCs w:val="24"/>
        </w:rPr>
        <w:t xml:space="preserve"> Palmas, Betim, Passos e Indaiatuba.</w:t>
      </w:r>
      <w:r w:rsidR="00B44C23" w:rsidRPr="008A3C80">
        <w:rPr>
          <w:rFonts w:ascii="Times New Roman" w:hAnsi="Times New Roman"/>
          <w:color w:val="000000" w:themeColor="text1"/>
          <w:sz w:val="24"/>
          <w:szCs w:val="24"/>
        </w:rPr>
        <w:t xml:space="preserve"> </w:t>
      </w:r>
      <w:r w:rsidR="0021779C" w:rsidRPr="008A3C80">
        <w:rPr>
          <w:rFonts w:ascii="Times New Roman" w:hAnsi="Times New Roman"/>
          <w:color w:val="000000" w:themeColor="text1"/>
          <w:sz w:val="24"/>
          <w:szCs w:val="24"/>
        </w:rPr>
        <w:t>Apresentaram picos de notificação em 2008 e 2011, que podem ser resultantes do cumprimento de Termos de Ajuste de Conduta (TAC) decorrentes de ações do Ministério Público do Trabalho. (UFBA-MS/2012)</w:t>
      </w:r>
      <w:proofErr w:type="gramStart"/>
      <w:r w:rsidR="0021779C" w:rsidRPr="008A3C80">
        <w:rPr>
          <w:rFonts w:ascii="Times New Roman" w:hAnsi="Times New Roman"/>
          <w:sz w:val="24"/>
          <w:szCs w:val="24"/>
          <w:vertAlign w:val="superscript"/>
        </w:rPr>
        <w:t>6</w:t>
      </w:r>
      <w:proofErr w:type="gramEnd"/>
      <w:r w:rsidR="003437A2" w:rsidRPr="008A3C80">
        <w:rPr>
          <w:rFonts w:ascii="Times New Roman" w:hAnsi="Times New Roman"/>
          <w:color w:val="000000" w:themeColor="text1"/>
          <w:sz w:val="24"/>
          <w:szCs w:val="24"/>
        </w:rPr>
        <w:t xml:space="preserve"> (</w:t>
      </w:r>
      <w:r w:rsidR="00B44C23" w:rsidRPr="008A3C80">
        <w:rPr>
          <w:rFonts w:ascii="Times New Roman" w:hAnsi="Times New Roman"/>
          <w:color w:val="000000" w:themeColor="text1"/>
          <w:sz w:val="24"/>
          <w:szCs w:val="24"/>
        </w:rPr>
        <w:t xml:space="preserve">Tabela </w:t>
      </w:r>
      <w:r w:rsidR="00DC590E" w:rsidRPr="008A3C80">
        <w:rPr>
          <w:rFonts w:ascii="Times New Roman" w:hAnsi="Times New Roman"/>
          <w:color w:val="000000" w:themeColor="text1"/>
          <w:sz w:val="24"/>
          <w:szCs w:val="24"/>
        </w:rPr>
        <w:t>1</w:t>
      </w:r>
      <w:r w:rsidR="003437A2" w:rsidRPr="008A3C80">
        <w:rPr>
          <w:rFonts w:ascii="Times New Roman" w:hAnsi="Times New Roman"/>
          <w:color w:val="000000" w:themeColor="text1"/>
          <w:sz w:val="24"/>
          <w:szCs w:val="24"/>
        </w:rPr>
        <w:t>).</w:t>
      </w:r>
    </w:p>
    <w:p w:rsidR="00DE7E94" w:rsidRPr="008A3C80" w:rsidRDefault="00DE7E94" w:rsidP="002E264B">
      <w:pPr>
        <w:autoSpaceDE w:val="0"/>
        <w:autoSpaceDN w:val="0"/>
        <w:adjustRightInd w:val="0"/>
        <w:spacing w:line="480" w:lineRule="auto"/>
        <w:jc w:val="both"/>
        <w:rPr>
          <w:rFonts w:ascii="Times New Roman" w:hAnsi="Times New Roman"/>
          <w:color w:val="000000" w:themeColor="text1"/>
          <w:sz w:val="24"/>
          <w:szCs w:val="24"/>
        </w:rPr>
      </w:pPr>
      <w:r w:rsidRPr="00FF4210">
        <w:rPr>
          <w:rFonts w:ascii="Times New Roman" w:hAnsi="Times New Roman"/>
          <w:b/>
          <w:color w:val="000000" w:themeColor="text1"/>
          <w:sz w:val="24"/>
          <w:szCs w:val="24"/>
        </w:rPr>
        <w:t xml:space="preserve">Tabela </w:t>
      </w:r>
      <w:r w:rsidR="00DC590E" w:rsidRPr="00FF4210">
        <w:rPr>
          <w:rFonts w:ascii="Times New Roman" w:hAnsi="Times New Roman"/>
          <w:b/>
          <w:color w:val="000000" w:themeColor="text1"/>
          <w:sz w:val="24"/>
          <w:szCs w:val="24"/>
        </w:rPr>
        <w:t>1</w:t>
      </w:r>
      <w:r w:rsidR="002E3962" w:rsidRPr="008A3C80">
        <w:rPr>
          <w:rFonts w:ascii="Times New Roman" w:hAnsi="Times New Roman"/>
          <w:color w:val="000000" w:themeColor="text1"/>
          <w:sz w:val="24"/>
          <w:szCs w:val="24"/>
        </w:rPr>
        <w:t xml:space="preserve">: </w:t>
      </w:r>
      <w:r w:rsidR="001D4BBF" w:rsidRPr="008A3C80">
        <w:rPr>
          <w:rFonts w:ascii="Times New Roman" w:hAnsi="Times New Roman"/>
          <w:color w:val="000000" w:themeColor="text1"/>
          <w:sz w:val="24"/>
          <w:szCs w:val="24"/>
        </w:rPr>
        <w:t xml:space="preserve">Número </w:t>
      </w:r>
      <w:r w:rsidR="00DA56F1" w:rsidRPr="008A3C80">
        <w:rPr>
          <w:rFonts w:ascii="Times New Roman" w:hAnsi="Times New Roman"/>
          <w:color w:val="000000" w:themeColor="text1"/>
          <w:sz w:val="24"/>
          <w:szCs w:val="24"/>
        </w:rPr>
        <w:t>(N)</w:t>
      </w:r>
      <w:r w:rsidR="009F4E1C" w:rsidRPr="008A3C80">
        <w:rPr>
          <w:rFonts w:ascii="Times New Roman" w:hAnsi="Times New Roman"/>
          <w:color w:val="000000" w:themeColor="text1"/>
          <w:sz w:val="24"/>
          <w:szCs w:val="24"/>
        </w:rPr>
        <w:t xml:space="preserve"> e proporção total</w:t>
      </w:r>
      <w:r w:rsidR="001D4BBF" w:rsidRPr="008A3C80">
        <w:rPr>
          <w:rFonts w:ascii="Times New Roman" w:hAnsi="Times New Roman"/>
          <w:color w:val="000000" w:themeColor="text1"/>
          <w:sz w:val="24"/>
          <w:szCs w:val="24"/>
        </w:rPr>
        <w:t xml:space="preserve"> (%)</w:t>
      </w:r>
      <w:r w:rsidR="00EA3843" w:rsidRPr="008A3C80">
        <w:rPr>
          <w:rFonts w:ascii="Times New Roman" w:hAnsi="Times New Roman"/>
          <w:color w:val="000000" w:themeColor="text1"/>
          <w:sz w:val="24"/>
          <w:szCs w:val="24"/>
        </w:rPr>
        <w:t xml:space="preserve"> </w:t>
      </w:r>
      <w:r w:rsidR="000E2D85" w:rsidRPr="008A3C80">
        <w:rPr>
          <w:rFonts w:ascii="Times New Roman" w:hAnsi="Times New Roman"/>
          <w:color w:val="000000" w:themeColor="text1"/>
          <w:sz w:val="24"/>
          <w:szCs w:val="24"/>
        </w:rPr>
        <w:t>d</w:t>
      </w:r>
      <w:r w:rsidR="00EA3843" w:rsidRPr="008A3C80">
        <w:rPr>
          <w:rFonts w:ascii="Times New Roman" w:hAnsi="Times New Roman"/>
          <w:color w:val="000000" w:themeColor="text1"/>
          <w:sz w:val="24"/>
          <w:szCs w:val="24"/>
        </w:rPr>
        <w:t>os</w:t>
      </w:r>
      <w:r w:rsidR="000E2D85" w:rsidRPr="008A3C80">
        <w:rPr>
          <w:rFonts w:ascii="Times New Roman" w:hAnsi="Times New Roman"/>
          <w:color w:val="000000" w:themeColor="text1"/>
          <w:sz w:val="24"/>
          <w:szCs w:val="24"/>
        </w:rPr>
        <w:t xml:space="preserve"> </w:t>
      </w:r>
      <w:r w:rsidR="00485DC6" w:rsidRPr="008A3C80">
        <w:rPr>
          <w:rFonts w:ascii="Times New Roman" w:hAnsi="Times New Roman"/>
          <w:color w:val="000000" w:themeColor="text1"/>
          <w:sz w:val="24"/>
          <w:szCs w:val="24"/>
        </w:rPr>
        <w:t>casos</w:t>
      </w:r>
      <w:r w:rsidR="000E2D85" w:rsidRPr="008A3C80">
        <w:rPr>
          <w:rFonts w:ascii="Times New Roman" w:hAnsi="Times New Roman"/>
          <w:color w:val="000000" w:themeColor="text1"/>
          <w:sz w:val="24"/>
          <w:szCs w:val="24"/>
        </w:rPr>
        <w:t xml:space="preserve"> </w:t>
      </w:r>
      <w:r w:rsidR="00EA3843" w:rsidRPr="008A3C80">
        <w:rPr>
          <w:rFonts w:ascii="Times New Roman" w:hAnsi="Times New Roman"/>
          <w:color w:val="000000" w:themeColor="text1"/>
          <w:sz w:val="24"/>
          <w:szCs w:val="24"/>
        </w:rPr>
        <w:t>de</w:t>
      </w:r>
      <w:r w:rsidR="000E2D85" w:rsidRPr="008A3C80">
        <w:rPr>
          <w:rFonts w:ascii="Times New Roman" w:hAnsi="Times New Roman"/>
          <w:color w:val="000000" w:themeColor="text1"/>
          <w:sz w:val="24"/>
          <w:szCs w:val="24"/>
        </w:rPr>
        <w:t xml:space="preserve"> asbestose</w:t>
      </w:r>
      <w:r w:rsidR="00EA3843" w:rsidRPr="008A3C80">
        <w:rPr>
          <w:rFonts w:ascii="Times New Roman" w:hAnsi="Times New Roman"/>
          <w:color w:val="000000" w:themeColor="text1"/>
          <w:sz w:val="24"/>
          <w:szCs w:val="24"/>
        </w:rPr>
        <w:t xml:space="preserve"> em trabalhadores</w:t>
      </w:r>
      <w:r w:rsidR="00485DC6" w:rsidRPr="008A3C80">
        <w:rPr>
          <w:rFonts w:ascii="Times New Roman" w:hAnsi="Times New Roman"/>
          <w:color w:val="000000" w:themeColor="text1"/>
          <w:sz w:val="24"/>
          <w:szCs w:val="24"/>
        </w:rPr>
        <w:t>, segundo</w:t>
      </w:r>
      <w:r w:rsidR="00015D1A" w:rsidRPr="008A3C80">
        <w:rPr>
          <w:rFonts w:ascii="Times New Roman" w:hAnsi="Times New Roman"/>
          <w:color w:val="000000" w:themeColor="text1"/>
          <w:sz w:val="24"/>
          <w:szCs w:val="24"/>
        </w:rPr>
        <w:t xml:space="preserve"> o</w:t>
      </w:r>
      <w:r w:rsidR="00485DC6" w:rsidRPr="008A3C80">
        <w:rPr>
          <w:rFonts w:ascii="Times New Roman" w:hAnsi="Times New Roman"/>
          <w:color w:val="000000" w:themeColor="text1"/>
          <w:sz w:val="24"/>
          <w:szCs w:val="24"/>
        </w:rPr>
        <w:t xml:space="preserve"> município </w:t>
      </w:r>
      <w:r w:rsidR="002E3962" w:rsidRPr="008A3C80">
        <w:rPr>
          <w:rFonts w:ascii="Times New Roman" w:hAnsi="Times New Roman"/>
          <w:color w:val="000000" w:themeColor="text1"/>
          <w:sz w:val="24"/>
          <w:szCs w:val="24"/>
        </w:rPr>
        <w:t xml:space="preserve">e </w:t>
      </w:r>
      <w:r w:rsidR="00015D1A" w:rsidRPr="008A3C80">
        <w:rPr>
          <w:rFonts w:ascii="Times New Roman" w:hAnsi="Times New Roman"/>
          <w:color w:val="000000" w:themeColor="text1"/>
          <w:sz w:val="24"/>
          <w:szCs w:val="24"/>
        </w:rPr>
        <w:t xml:space="preserve">o </w:t>
      </w:r>
      <w:r w:rsidR="002E3962" w:rsidRPr="008A3C80">
        <w:rPr>
          <w:rFonts w:ascii="Times New Roman" w:hAnsi="Times New Roman"/>
          <w:color w:val="000000" w:themeColor="text1"/>
          <w:sz w:val="24"/>
          <w:szCs w:val="24"/>
        </w:rPr>
        <w:t>ano de notificação</w:t>
      </w:r>
      <w:r w:rsidR="00485DC6" w:rsidRPr="008A3C80">
        <w:rPr>
          <w:rFonts w:ascii="Times New Roman" w:hAnsi="Times New Roman"/>
          <w:color w:val="000000" w:themeColor="text1"/>
          <w:sz w:val="24"/>
          <w:szCs w:val="24"/>
        </w:rPr>
        <w:t xml:space="preserve"> – Brasil, </w:t>
      </w:r>
      <w:r w:rsidR="00825A20" w:rsidRPr="008A3C80">
        <w:rPr>
          <w:rFonts w:ascii="Times New Roman" w:hAnsi="Times New Roman"/>
          <w:color w:val="000000" w:themeColor="text1"/>
          <w:sz w:val="24"/>
          <w:szCs w:val="24"/>
        </w:rPr>
        <w:t xml:space="preserve">de </w:t>
      </w:r>
      <w:r w:rsidR="00485DC6" w:rsidRPr="008A3C80">
        <w:rPr>
          <w:rFonts w:ascii="Times New Roman" w:hAnsi="Times New Roman"/>
          <w:color w:val="000000" w:themeColor="text1"/>
          <w:sz w:val="24"/>
          <w:szCs w:val="24"/>
        </w:rPr>
        <w:t>2007</w:t>
      </w:r>
      <w:r w:rsidR="00825A20" w:rsidRPr="008A3C80">
        <w:rPr>
          <w:rFonts w:ascii="Times New Roman" w:hAnsi="Times New Roman"/>
          <w:color w:val="000000" w:themeColor="text1"/>
          <w:sz w:val="24"/>
          <w:szCs w:val="24"/>
        </w:rPr>
        <w:t xml:space="preserve"> a </w:t>
      </w:r>
      <w:r w:rsidR="00485DC6" w:rsidRPr="008A3C80">
        <w:rPr>
          <w:rFonts w:ascii="Times New Roman" w:hAnsi="Times New Roman"/>
          <w:color w:val="000000" w:themeColor="text1"/>
          <w:sz w:val="24"/>
          <w:szCs w:val="24"/>
        </w:rPr>
        <w:t>2013</w:t>
      </w:r>
      <w:r w:rsidR="00BB234F" w:rsidRPr="008A3C80">
        <w:rPr>
          <w:rFonts w:ascii="Times New Roman" w:hAnsi="Times New Roman"/>
          <w:color w:val="000000" w:themeColor="text1"/>
          <w:sz w:val="24"/>
          <w:szCs w:val="24"/>
        </w:rPr>
        <w:t>.</w:t>
      </w:r>
      <w:r w:rsidR="002E3962" w:rsidRPr="008A3C80">
        <w:rPr>
          <w:rFonts w:ascii="Times New Roman" w:hAnsi="Times New Roman"/>
          <w:color w:val="000000" w:themeColor="text1"/>
          <w:sz w:val="24"/>
          <w:szCs w:val="24"/>
        </w:rPr>
        <w:t xml:space="preserve"> </w:t>
      </w:r>
    </w:p>
    <w:tbl>
      <w:tblPr>
        <w:tblW w:w="9847" w:type="dxa"/>
        <w:tblInd w:w="-497" w:type="dxa"/>
        <w:tblCellMar>
          <w:left w:w="70" w:type="dxa"/>
          <w:right w:w="70" w:type="dxa"/>
        </w:tblCellMar>
        <w:tblLook w:val="04A0" w:firstRow="1" w:lastRow="0" w:firstColumn="1" w:lastColumn="0" w:noHBand="0" w:noVBand="1"/>
      </w:tblPr>
      <w:tblGrid>
        <w:gridCol w:w="2552"/>
        <w:gridCol w:w="810"/>
        <w:gridCol w:w="709"/>
        <w:gridCol w:w="851"/>
        <w:gridCol w:w="992"/>
        <w:gridCol w:w="708"/>
        <w:gridCol w:w="832"/>
        <w:gridCol w:w="709"/>
        <w:gridCol w:w="833"/>
        <w:gridCol w:w="851"/>
      </w:tblGrid>
      <w:tr w:rsidR="00DE7E94" w:rsidRPr="008A3C80" w:rsidTr="007D22EF">
        <w:trPr>
          <w:trHeight w:val="300"/>
        </w:trPr>
        <w:tc>
          <w:tcPr>
            <w:tcW w:w="2552" w:type="dxa"/>
            <w:tcBorders>
              <w:top w:val="single" w:sz="4" w:space="0" w:color="auto"/>
              <w:left w:val="nil"/>
              <w:bottom w:val="single" w:sz="4" w:space="0" w:color="auto"/>
              <w:right w:val="nil"/>
            </w:tcBorders>
            <w:shd w:val="clear" w:color="auto" w:fill="auto"/>
            <w:noWrap/>
            <w:hideMark/>
          </w:tcPr>
          <w:p w:rsidR="00DE7E94" w:rsidRPr="008A3C80" w:rsidRDefault="00DE7E94" w:rsidP="00487E3D">
            <w:pPr>
              <w:spacing w:after="0"/>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Mun</w:t>
            </w:r>
            <w:r w:rsidR="00487E3D" w:rsidRPr="008A3C80">
              <w:rPr>
                <w:rFonts w:ascii="Times New Roman" w:hAnsi="Times New Roman" w:cs="Arial"/>
                <w:b/>
                <w:color w:val="000000"/>
                <w:sz w:val="24"/>
                <w:szCs w:val="20"/>
                <w:lang w:eastAsia="pt-BR"/>
              </w:rPr>
              <w:t xml:space="preserve">icípio </w:t>
            </w:r>
            <w:r w:rsidR="00F315B7" w:rsidRPr="008A3C80">
              <w:rPr>
                <w:rFonts w:ascii="Times New Roman" w:hAnsi="Times New Roman" w:cs="Arial"/>
                <w:b/>
                <w:color w:val="000000"/>
                <w:sz w:val="24"/>
                <w:szCs w:val="20"/>
                <w:lang w:eastAsia="pt-BR"/>
              </w:rPr>
              <w:t xml:space="preserve">de </w:t>
            </w:r>
            <w:r w:rsidRPr="008A3C80">
              <w:rPr>
                <w:rFonts w:ascii="Times New Roman" w:hAnsi="Times New Roman" w:cs="Arial"/>
                <w:b/>
                <w:color w:val="000000"/>
                <w:sz w:val="24"/>
                <w:szCs w:val="20"/>
                <w:lang w:eastAsia="pt-BR"/>
              </w:rPr>
              <w:t>Noti</w:t>
            </w:r>
            <w:r w:rsidR="00487E3D" w:rsidRPr="008A3C80">
              <w:rPr>
                <w:rFonts w:ascii="Times New Roman" w:hAnsi="Times New Roman" w:cs="Arial"/>
                <w:b/>
                <w:color w:val="000000"/>
                <w:sz w:val="24"/>
                <w:szCs w:val="20"/>
                <w:lang w:eastAsia="pt-BR"/>
              </w:rPr>
              <w:t>ficação</w:t>
            </w:r>
            <w:r w:rsidRPr="008A3C80">
              <w:rPr>
                <w:rFonts w:ascii="Times New Roman" w:hAnsi="Times New Roman" w:cs="Arial"/>
                <w:b/>
                <w:color w:val="000000"/>
                <w:sz w:val="24"/>
                <w:szCs w:val="20"/>
                <w:lang w:eastAsia="pt-BR"/>
              </w:rPr>
              <w:t xml:space="preserve"> </w:t>
            </w:r>
          </w:p>
        </w:tc>
        <w:tc>
          <w:tcPr>
            <w:tcW w:w="810"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2007</w:t>
            </w:r>
          </w:p>
        </w:tc>
        <w:tc>
          <w:tcPr>
            <w:tcW w:w="709"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2008</w:t>
            </w:r>
          </w:p>
        </w:tc>
        <w:tc>
          <w:tcPr>
            <w:tcW w:w="851"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2009</w:t>
            </w:r>
          </w:p>
        </w:tc>
        <w:tc>
          <w:tcPr>
            <w:tcW w:w="992"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2010</w:t>
            </w:r>
          </w:p>
        </w:tc>
        <w:tc>
          <w:tcPr>
            <w:tcW w:w="708"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2011</w:t>
            </w:r>
          </w:p>
        </w:tc>
        <w:tc>
          <w:tcPr>
            <w:tcW w:w="832"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2012</w:t>
            </w:r>
          </w:p>
        </w:tc>
        <w:tc>
          <w:tcPr>
            <w:tcW w:w="709"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2013</w:t>
            </w:r>
          </w:p>
        </w:tc>
        <w:tc>
          <w:tcPr>
            <w:tcW w:w="833" w:type="dxa"/>
            <w:tcBorders>
              <w:top w:val="single" w:sz="4" w:space="0" w:color="auto"/>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Total</w:t>
            </w:r>
          </w:p>
        </w:tc>
        <w:tc>
          <w:tcPr>
            <w:tcW w:w="851" w:type="dxa"/>
            <w:tcBorders>
              <w:top w:val="single" w:sz="4" w:space="0" w:color="auto"/>
              <w:left w:val="nil"/>
              <w:bottom w:val="single" w:sz="4" w:space="0" w:color="auto"/>
              <w:right w:val="nil"/>
            </w:tcBorders>
            <w:shd w:val="clear" w:color="auto" w:fill="auto"/>
            <w:noWrap/>
            <w:vAlign w:val="bottom"/>
            <w:hideMark/>
          </w:tcPr>
          <w:p w:rsidR="00DE7E94" w:rsidRPr="008A3C80" w:rsidRDefault="00D03E50" w:rsidP="00D03E50">
            <w:pPr>
              <w:spacing w:after="0"/>
              <w:jc w:val="center"/>
              <w:rPr>
                <w:rFonts w:ascii="Times New Roman" w:hAnsi="Times New Roman"/>
                <w:b/>
                <w:color w:val="000000"/>
                <w:sz w:val="24"/>
                <w:lang w:eastAsia="pt-BR"/>
              </w:rPr>
            </w:pPr>
            <w:r w:rsidRPr="008A3C80">
              <w:rPr>
                <w:rFonts w:ascii="Times New Roman" w:hAnsi="Times New Roman"/>
                <w:b/>
                <w:color w:val="000000"/>
                <w:sz w:val="24"/>
                <w:lang w:eastAsia="pt-BR"/>
              </w:rPr>
              <w:t>%</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b/>
                <w:bCs/>
                <w:sz w:val="24"/>
                <w:szCs w:val="20"/>
                <w:lang w:eastAsia="pt-BR"/>
              </w:rPr>
            </w:pPr>
            <w:r w:rsidRPr="008A3C80">
              <w:rPr>
                <w:rFonts w:ascii="Times New Roman" w:hAnsi="Times New Roman" w:cs="Arial"/>
                <w:b/>
                <w:bCs/>
                <w:sz w:val="24"/>
                <w:szCs w:val="20"/>
                <w:lang w:eastAsia="pt-BR"/>
              </w:rPr>
              <w:t>Total</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proofErr w:type="gramStart"/>
            <w:r w:rsidRPr="008A3C80">
              <w:rPr>
                <w:rFonts w:ascii="Times New Roman" w:hAnsi="Times New Roman" w:cs="Arial"/>
                <w:b/>
                <w:sz w:val="24"/>
                <w:szCs w:val="20"/>
                <w:lang w:eastAsia="pt-BR"/>
              </w:rPr>
              <w:t>9</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620</w:t>
            </w:r>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47</w:t>
            </w:r>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49</w:t>
            </w:r>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346</w:t>
            </w:r>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17</w:t>
            </w:r>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104</w:t>
            </w:r>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1.192</w:t>
            </w:r>
          </w:p>
        </w:tc>
        <w:tc>
          <w:tcPr>
            <w:tcW w:w="851" w:type="dxa"/>
            <w:tcBorders>
              <w:top w:val="nil"/>
              <w:left w:val="nil"/>
              <w:bottom w:val="nil"/>
              <w:right w:val="nil"/>
            </w:tcBorders>
            <w:shd w:val="clear" w:color="auto" w:fill="auto"/>
            <w:noWrap/>
            <w:hideMark/>
          </w:tcPr>
          <w:p w:rsidR="00DE7E94" w:rsidRPr="008A3C80" w:rsidRDefault="00DE7E94" w:rsidP="00F55009">
            <w:pPr>
              <w:spacing w:after="0"/>
              <w:jc w:val="center"/>
              <w:rPr>
                <w:rFonts w:ascii="Times New Roman" w:hAnsi="Times New Roman" w:cs="Arial"/>
                <w:b/>
                <w:sz w:val="24"/>
                <w:szCs w:val="20"/>
                <w:lang w:eastAsia="pt-BR"/>
              </w:rPr>
            </w:pPr>
            <w:r w:rsidRPr="008A3C80">
              <w:rPr>
                <w:rFonts w:ascii="Times New Roman" w:hAnsi="Times New Roman" w:cs="Arial"/>
                <w:b/>
                <w:sz w:val="24"/>
                <w:szCs w:val="20"/>
                <w:lang w:eastAsia="pt-BR"/>
              </w:rPr>
              <w:t>100</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Campinas</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2</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618</w:t>
            </w:r>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43</w:t>
            </w:r>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30</w:t>
            </w:r>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294</w:t>
            </w:r>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3</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88</w:t>
            </w:r>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1.078</w:t>
            </w:r>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ind w:left="-176" w:hanging="9"/>
              <w:jc w:val="center"/>
              <w:rPr>
                <w:rFonts w:ascii="Times New Roman" w:hAnsi="Times New Roman" w:cs="Arial"/>
                <w:sz w:val="24"/>
                <w:szCs w:val="20"/>
                <w:lang w:eastAsia="pt-BR"/>
              </w:rPr>
            </w:pPr>
            <w:r w:rsidRPr="008A3C80">
              <w:rPr>
                <w:rFonts w:ascii="Times New Roman" w:hAnsi="Times New Roman" w:cs="Arial"/>
                <w:sz w:val="24"/>
                <w:szCs w:val="20"/>
                <w:lang w:eastAsia="pt-BR"/>
              </w:rPr>
              <w:t>90.4</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Rio de Janeiro</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41</w:t>
            </w:r>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42</w:t>
            </w:r>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3.5</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Osasco</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3</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16</w:t>
            </w:r>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7</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3</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29</w:t>
            </w:r>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2.4</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Recife</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6</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12</w:t>
            </w:r>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18</w:t>
            </w:r>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1.5</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lastRenderedPageBreak/>
              <w:t>Salvador</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5</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2</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7</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0.6</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Belo Horizonte</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3</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2</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7</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0.6</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São Paulo</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3</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0.3</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São José dos Campos</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2</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0.2</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Curitiba</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2</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0.2</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Palmas</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0.1</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Betim</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0.1</w:t>
            </w:r>
          </w:p>
        </w:tc>
      </w:tr>
      <w:tr w:rsidR="00DE7E94" w:rsidRPr="008A3C80" w:rsidTr="00F315B7">
        <w:trPr>
          <w:trHeight w:val="300"/>
        </w:trPr>
        <w:tc>
          <w:tcPr>
            <w:tcW w:w="2552" w:type="dxa"/>
            <w:tcBorders>
              <w:top w:val="nil"/>
              <w:left w:val="nil"/>
              <w:bottom w:val="nil"/>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Passos</w:t>
            </w:r>
          </w:p>
        </w:tc>
        <w:tc>
          <w:tcPr>
            <w:tcW w:w="810"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9"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nil"/>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51" w:type="dxa"/>
            <w:tcBorders>
              <w:top w:val="nil"/>
              <w:left w:val="nil"/>
              <w:bottom w:val="nil"/>
              <w:right w:val="nil"/>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0.1</w:t>
            </w:r>
          </w:p>
        </w:tc>
      </w:tr>
      <w:tr w:rsidR="00DE7E94" w:rsidRPr="008A3C80" w:rsidTr="00F315B7">
        <w:trPr>
          <w:trHeight w:val="300"/>
        </w:trPr>
        <w:tc>
          <w:tcPr>
            <w:tcW w:w="2552" w:type="dxa"/>
            <w:tcBorders>
              <w:top w:val="nil"/>
              <w:left w:val="nil"/>
              <w:bottom w:val="single" w:sz="4" w:space="0" w:color="auto"/>
              <w:right w:val="nil"/>
            </w:tcBorders>
            <w:shd w:val="clear" w:color="auto" w:fill="auto"/>
            <w:noWrap/>
            <w:hideMark/>
          </w:tcPr>
          <w:p w:rsidR="00DE7E94" w:rsidRPr="008A3C80" w:rsidRDefault="00DE7E94" w:rsidP="009011B2">
            <w:pPr>
              <w:spacing w:after="0"/>
              <w:rPr>
                <w:rFonts w:ascii="Times New Roman" w:hAnsi="Times New Roman" w:cs="Arial"/>
                <w:sz w:val="24"/>
                <w:szCs w:val="20"/>
                <w:lang w:eastAsia="pt-BR"/>
              </w:rPr>
            </w:pPr>
            <w:r w:rsidRPr="008A3C80">
              <w:rPr>
                <w:rFonts w:ascii="Times New Roman" w:hAnsi="Times New Roman" w:cs="Arial"/>
                <w:sz w:val="24"/>
                <w:szCs w:val="20"/>
                <w:lang w:eastAsia="pt-BR"/>
              </w:rPr>
              <w:t>Indaiatuba</w:t>
            </w:r>
          </w:p>
        </w:tc>
        <w:tc>
          <w:tcPr>
            <w:tcW w:w="810"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709"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51"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992"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8"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2"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709"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0</w:t>
            </w:r>
            <w:proofErr w:type="gramEnd"/>
          </w:p>
        </w:tc>
        <w:tc>
          <w:tcPr>
            <w:tcW w:w="833" w:type="dxa"/>
            <w:tcBorders>
              <w:top w:val="nil"/>
              <w:left w:val="nil"/>
              <w:bottom w:val="single" w:sz="4" w:space="0" w:color="auto"/>
              <w:right w:val="nil"/>
            </w:tcBorders>
            <w:shd w:val="clear" w:color="auto" w:fill="auto"/>
            <w:noWrap/>
            <w:hideMark/>
          </w:tcPr>
          <w:p w:rsidR="00DE7E94" w:rsidRPr="008A3C80" w:rsidRDefault="00DE7E94" w:rsidP="009011B2">
            <w:pPr>
              <w:spacing w:after="0"/>
              <w:jc w:val="center"/>
              <w:rPr>
                <w:rFonts w:ascii="Times New Roman" w:hAnsi="Times New Roman" w:cs="Arial"/>
                <w:sz w:val="24"/>
                <w:szCs w:val="20"/>
                <w:lang w:eastAsia="pt-BR"/>
              </w:rPr>
            </w:pPr>
            <w:proofErr w:type="gramStart"/>
            <w:r w:rsidRPr="008A3C80">
              <w:rPr>
                <w:rFonts w:ascii="Times New Roman" w:hAnsi="Times New Roman" w:cs="Arial"/>
                <w:sz w:val="24"/>
                <w:szCs w:val="20"/>
                <w:lang w:eastAsia="pt-BR"/>
              </w:rPr>
              <w:t>1</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DE7E94" w:rsidRPr="008A3C80" w:rsidRDefault="00DE7E94" w:rsidP="00DD729C">
            <w:pPr>
              <w:spacing w:after="0"/>
              <w:jc w:val="center"/>
              <w:rPr>
                <w:rFonts w:ascii="Times New Roman" w:hAnsi="Times New Roman" w:cs="Arial"/>
                <w:sz w:val="24"/>
                <w:szCs w:val="20"/>
                <w:lang w:eastAsia="pt-BR"/>
              </w:rPr>
            </w:pPr>
            <w:r w:rsidRPr="008A3C80">
              <w:rPr>
                <w:rFonts w:ascii="Times New Roman" w:hAnsi="Times New Roman" w:cs="Arial"/>
                <w:sz w:val="24"/>
                <w:szCs w:val="20"/>
                <w:lang w:eastAsia="pt-BR"/>
              </w:rPr>
              <w:t>0.1</w:t>
            </w:r>
          </w:p>
        </w:tc>
      </w:tr>
    </w:tbl>
    <w:p w:rsidR="00B44C23" w:rsidRPr="008A3C80" w:rsidRDefault="0079729E" w:rsidP="002E264B">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Fonte: SINAN/</w:t>
      </w:r>
      <w:proofErr w:type="gramStart"/>
      <w:r w:rsidRPr="008A3C80">
        <w:rPr>
          <w:rFonts w:ascii="Times New Roman" w:hAnsi="Times New Roman"/>
          <w:color w:val="000000" w:themeColor="text1"/>
          <w:sz w:val="24"/>
          <w:szCs w:val="24"/>
        </w:rPr>
        <w:t>MS.</w:t>
      </w:r>
      <w:proofErr w:type="gramEnd"/>
      <w:r w:rsidR="00394250" w:rsidRPr="008A3C80">
        <w:rPr>
          <w:rFonts w:ascii="Times New Roman" w:hAnsi="Times New Roman"/>
          <w:color w:val="000000" w:themeColor="text1"/>
          <w:sz w:val="24"/>
          <w:szCs w:val="24"/>
        </w:rPr>
        <w:t>Atualizado em 14/07/2014.</w:t>
      </w:r>
    </w:p>
    <w:p w:rsidR="00D47917" w:rsidRPr="008A3C80" w:rsidRDefault="00D47917"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Nem todo relato de exposição ao agente asbesto apresentou como </w:t>
      </w:r>
      <w:r w:rsidRPr="008A3C80">
        <w:rPr>
          <w:rFonts w:ascii="Times New Roman" w:hAnsi="Times New Roman"/>
          <w:i/>
          <w:color w:val="000000" w:themeColor="text1"/>
          <w:sz w:val="24"/>
          <w:szCs w:val="24"/>
        </w:rPr>
        <w:t>diagnóstico específico</w:t>
      </w:r>
      <w:r w:rsidRPr="008A3C80">
        <w:rPr>
          <w:rFonts w:ascii="Times New Roman" w:hAnsi="Times New Roman"/>
          <w:color w:val="000000" w:themeColor="text1"/>
          <w:sz w:val="24"/>
          <w:szCs w:val="24"/>
        </w:rPr>
        <w:t xml:space="preserve"> a asbestose, representando uma diferença de 38 registros</w:t>
      </w:r>
      <w:r w:rsidR="00DC590E" w:rsidRPr="008A3C80">
        <w:rPr>
          <w:rFonts w:ascii="Times New Roman" w:hAnsi="Times New Roman"/>
          <w:color w:val="000000" w:themeColor="text1"/>
          <w:sz w:val="24"/>
          <w:szCs w:val="24"/>
        </w:rPr>
        <w:t xml:space="preserve"> (</w:t>
      </w:r>
      <w:r w:rsidRPr="008A3C80">
        <w:rPr>
          <w:rFonts w:ascii="Times New Roman" w:hAnsi="Times New Roman"/>
          <w:color w:val="000000" w:themeColor="text1"/>
          <w:sz w:val="24"/>
          <w:szCs w:val="24"/>
        </w:rPr>
        <w:t xml:space="preserve">Tabela </w:t>
      </w:r>
      <w:r w:rsidR="00DC590E" w:rsidRPr="008A3C80">
        <w:rPr>
          <w:rFonts w:ascii="Times New Roman" w:hAnsi="Times New Roman"/>
          <w:color w:val="000000" w:themeColor="text1"/>
          <w:sz w:val="24"/>
          <w:szCs w:val="24"/>
        </w:rPr>
        <w:t>2).</w:t>
      </w:r>
    </w:p>
    <w:p w:rsidR="00D47917" w:rsidRPr="008A3C80" w:rsidRDefault="00D47917" w:rsidP="00D47917">
      <w:pPr>
        <w:autoSpaceDE w:val="0"/>
        <w:autoSpaceDN w:val="0"/>
        <w:adjustRightInd w:val="0"/>
        <w:spacing w:line="480" w:lineRule="auto"/>
        <w:jc w:val="both"/>
        <w:rPr>
          <w:rFonts w:ascii="Times New Roman" w:hAnsi="Times New Roman"/>
          <w:color w:val="000000" w:themeColor="text1"/>
          <w:sz w:val="24"/>
          <w:szCs w:val="24"/>
        </w:rPr>
      </w:pPr>
      <w:r w:rsidRPr="00FF4210">
        <w:rPr>
          <w:rFonts w:ascii="Times New Roman" w:hAnsi="Times New Roman"/>
          <w:b/>
          <w:color w:val="000000" w:themeColor="text1"/>
          <w:sz w:val="24"/>
          <w:szCs w:val="24"/>
        </w:rPr>
        <w:t xml:space="preserve">Tabela </w:t>
      </w:r>
      <w:r w:rsidR="00DC590E" w:rsidRPr="00FF4210">
        <w:rPr>
          <w:rFonts w:ascii="Times New Roman" w:hAnsi="Times New Roman"/>
          <w:b/>
          <w:color w:val="000000" w:themeColor="text1"/>
          <w:sz w:val="24"/>
          <w:szCs w:val="24"/>
        </w:rPr>
        <w:t>2</w:t>
      </w:r>
      <w:r w:rsidR="00A362F0" w:rsidRPr="008A3C80">
        <w:rPr>
          <w:rFonts w:ascii="Times New Roman" w:hAnsi="Times New Roman"/>
          <w:color w:val="000000" w:themeColor="text1"/>
          <w:sz w:val="24"/>
          <w:szCs w:val="24"/>
        </w:rPr>
        <w:t xml:space="preserve">: </w:t>
      </w:r>
      <w:r w:rsidR="00825A20" w:rsidRPr="008A3C80">
        <w:rPr>
          <w:rFonts w:ascii="Times New Roman" w:hAnsi="Times New Roman"/>
          <w:color w:val="000000" w:themeColor="text1"/>
          <w:sz w:val="24"/>
          <w:szCs w:val="24"/>
        </w:rPr>
        <w:t xml:space="preserve">Comparação </w:t>
      </w:r>
      <w:r w:rsidR="001D4BBF" w:rsidRPr="008A3C80">
        <w:rPr>
          <w:rFonts w:ascii="Times New Roman" w:hAnsi="Times New Roman"/>
          <w:color w:val="000000" w:themeColor="text1"/>
          <w:sz w:val="24"/>
          <w:szCs w:val="24"/>
        </w:rPr>
        <w:t>do número</w:t>
      </w:r>
      <w:r w:rsidR="00347987" w:rsidRPr="008A3C80">
        <w:rPr>
          <w:rFonts w:ascii="Times New Roman" w:hAnsi="Times New Roman"/>
          <w:color w:val="000000" w:themeColor="text1"/>
          <w:sz w:val="24"/>
          <w:szCs w:val="24"/>
        </w:rPr>
        <w:t xml:space="preserve"> (N)</w:t>
      </w:r>
      <w:r w:rsidR="001D4BBF" w:rsidRPr="008A3C80">
        <w:rPr>
          <w:rFonts w:ascii="Times New Roman" w:hAnsi="Times New Roman"/>
          <w:color w:val="000000" w:themeColor="text1"/>
          <w:sz w:val="24"/>
          <w:szCs w:val="24"/>
        </w:rPr>
        <w:t xml:space="preserve"> de notificações </w:t>
      </w:r>
      <w:r w:rsidR="00825A20" w:rsidRPr="008A3C80">
        <w:rPr>
          <w:rFonts w:ascii="Times New Roman" w:hAnsi="Times New Roman"/>
          <w:color w:val="000000" w:themeColor="text1"/>
          <w:sz w:val="24"/>
          <w:szCs w:val="24"/>
        </w:rPr>
        <w:t>entre agente</w:t>
      </w:r>
      <w:r w:rsidR="00347987" w:rsidRPr="008A3C80">
        <w:rPr>
          <w:rFonts w:ascii="Times New Roman" w:hAnsi="Times New Roman"/>
          <w:color w:val="000000" w:themeColor="text1"/>
          <w:sz w:val="24"/>
          <w:szCs w:val="24"/>
        </w:rPr>
        <w:t xml:space="preserve"> de exposição</w:t>
      </w:r>
      <w:r w:rsidR="00825A20" w:rsidRPr="008A3C80">
        <w:rPr>
          <w:rFonts w:ascii="Times New Roman" w:hAnsi="Times New Roman"/>
          <w:color w:val="000000" w:themeColor="text1"/>
          <w:sz w:val="24"/>
          <w:szCs w:val="24"/>
        </w:rPr>
        <w:t xml:space="preserve"> asbesto e diagnóstico específico para asbestose</w:t>
      </w:r>
      <w:r w:rsidR="004D4090" w:rsidRPr="008A3C80">
        <w:rPr>
          <w:rFonts w:ascii="Times New Roman" w:hAnsi="Times New Roman"/>
          <w:color w:val="000000" w:themeColor="text1"/>
          <w:sz w:val="24"/>
          <w:szCs w:val="24"/>
        </w:rPr>
        <w:t xml:space="preserve"> – Brasil, de 2007 a 2013</w:t>
      </w:r>
      <w:r w:rsidR="00BB234F" w:rsidRPr="008A3C80">
        <w:rPr>
          <w:rFonts w:ascii="Times New Roman" w:hAnsi="Times New Roman"/>
          <w:color w:val="000000" w:themeColor="text1"/>
          <w:sz w:val="24"/>
          <w:szCs w:val="24"/>
        </w:rPr>
        <w:t>.</w:t>
      </w:r>
    </w:p>
    <w:tbl>
      <w:tblPr>
        <w:tblW w:w="6423" w:type="dxa"/>
        <w:tblInd w:w="55" w:type="dxa"/>
        <w:tblCellMar>
          <w:left w:w="70" w:type="dxa"/>
          <w:right w:w="70" w:type="dxa"/>
        </w:tblCellMar>
        <w:tblLook w:val="04A0" w:firstRow="1" w:lastRow="0" w:firstColumn="1" w:lastColumn="0" w:noHBand="0" w:noVBand="1"/>
      </w:tblPr>
      <w:tblGrid>
        <w:gridCol w:w="2484"/>
        <w:gridCol w:w="660"/>
        <w:gridCol w:w="1080"/>
        <w:gridCol w:w="1051"/>
        <w:gridCol w:w="1420"/>
      </w:tblGrid>
      <w:tr w:rsidR="00D47917" w:rsidRPr="008A3C80" w:rsidTr="0079729E">
        <w:trPr>
          <w:trHeight w:val="315"/>
        </w:trPr>
        <w:tc>
          <w:tcPr>
            <w:tcW w:w="2484" w:type="dxa"/>
            <w:tcBorders>
              <w:top w:val="nil"/>
              <w:left w:val="nil"/>
              <w:bottom w:val="nil"/>
              <w:right w:val="nil"/>
            </w:tcBorders>
            <w:shd w:val="clear" w:color="auto" w:fill="auto"/>
            <w:noWrap/>
            <w:vAlign w:val="bottom"/>
            <w:hideMark/>
          </w:tcPr>
          <w:p w:rsidR="00D47917" w:rsidRPr="008A3C80" w:rsidRDefault="00D47917" w:rsidP="00C57ACB">
            <w:pPr>
              <w:spacing w:after="0" w:line="240" w:lineRule="auto"/>
              <w:rPr>
                <w:rFonts w:ascii="Times New Roman" w:hAnsi="Times New Roman"/>
                <w:color w:val="000000"/>
                <w:sz w:val="24"/>
                <w:lang w:eastAsia="pt-BR"/>
              </w:rPr>
            </w:pPr>
          </w:p>
        </w:tc>
        <w:tc>
          <w:tcPr>
            <w:tcW w:w="579" w:type="dxa"/>
            <w:tcBorders>
              <w:top w:val="nil"/>
              <w:left w:val="nil"/>
              <w:bottom w:val="nil"/>
            </w:tcBorders>
            <w:shd w:val="clear" w:color="auto" w:fill="auto"/>
            <w:noWrap/>
            <w:vAlign w:val="bottom"/>
            <w:hideMark/>
          </w:tcPr>
          <w:p w:rsidR="00D47917" w:rsidRPr="008A3C80" w:rsidRDefault="00D47917" w:rsidP="00C57ACB">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 </w:t>
            </w:r>
          </w:p>
        </w:tc>
        <w:tc>
          <w:tcPr>
            <w:tcW w:w="3360" w:type="dxa"/>
            <w:gridSpan w:val="3"/>
            <w:tcBorders>
              <w:top w:val="single" w:sz="4" w:space="0" w:color="auto"/>
              <w:bottom w:val="single" w:sz="4" w:space="0" w:color="auto"/>
              <w:right w:val="nil"/>
            </w:tcBorders>
            <w:shd w:val="clear" w:color="auto" w:fill="auto"/>
            <w:noWrap/>
            <w:hideMark/>
          </w:tcPr>
          <w:p w:rsidR="00D47917" w:rsidRPr="008A3C80" w:rsidRDefault="007F46F2" w:rsidP="007F46F2">
            <w:pPr>
              <w:spacing w:after="0" w:line="240" w:lineRule="auto"/>
              <w:jc w:val="both"/>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 xml:space="preserve">     </w:t>
            </w:r>
            <w:r w:rsidR="00D47917" w:rsidRPr="008A3C80">
              <w:rPr>
                <w:rFonts w:ascii="Times New Roman" w:hAnsi="Times New Roman" w:cs="Arial"/>
                <w:b/>
                <w:color w:val="000000"/>
                <w:sz w:val="24"/>
                <w:szCs w:val="20"/>
                <w:lang w:eastAsia="pt-BR"/>
              </w:rPr>
              <w:t>Exposição ao agente asbesto</w:t>
            </w:r>
          </w:p>
        </w:tc>
      </w:tr>
      <w:tr w:rsidR="00D47917" w:rsidRPr="008A3C80" w:rsidTr="0079729E">
        <w:trPr>
          <w:trHeight w:val="315"/>
        </w:trPr>
        <w:tc>
          <w:tcPr>
            <w:tcW w:w="2484" w:type="dxa"/>
            <w:tcBorders>
              <w:top w:val="nil"/>
              <w:left w:val="nil"/>
              <w:bottom w:val="single" w:sz="4" w:space="0" w:color="auto"/>
              <w:right w:val="nil"/>
            </w:tcBorders>
            <w:shd w:val="clear" w:color="auto" w:fill="auto"/>
            <w:noWrap/>
            <w:hideMark/>
          </w:tcPr>
          <w:p w:rsidR="00D47917" w:rsidRPr="008A3C80" w:rsidRDefault="00D47917" w:rsidP="00C57ACB">
            <w:pPr>
              <w:spacing w:after="0" w:line="240" w:lineRule="auto"/>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 </w:t>
            </w:r>
          </w:p>
        </w:tc>
        <w:tc>
          <w:tcPr>
            <w:tcW w:w="579" w:type="dxa"/>
            <w:tcBorders>
              <w:top w:val="nil"/>
              <w:left w:val="nil"/>
              <w:bottom w:val="single" w:sz="4" w:space="0" w:color="auto"/>
            </w:tcBorders>
            <w:shd w:val="clear" w:color="auto" w:fill="auto"/>
            <w:noWrap/>
            <w:vAlign w:val="bottom"/>
            <w:hideMark/>
          </w:tcPr>
          <w:p w:rsidR="00D47917" w:rsidRPr="008A3C80" w:rsidRDefault="00D47917" w:rsidP="00C57ACB">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 </w:t>
            </w:r>
          </w:p>
        </w:tc>
        <w:tc>
          <w:tcPr>
            <w:tcW w:w="1080" w:type="dxa"/>
            <w:tcBorders>
              <w:bottom w:val="single" w:sz="4" w:space="0" w:color="auto"/>
              <w:right w:val="nil"/>
            </w:tcBorders>
            <w:shd w:val="clear" w:color="auto" w:fill="auto"/>
            <w:noWrap/>
            <w:vAlign w:val="center"/>
            <w:hideMark/>
          </w:tcPr>
          <w:p w:rsidR="00D47917" w:rsidRPr="008A3C80" w:rsidRDefault="00D47917" w:rsidP="00AD0F58">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SIM</w:t>
            </w:r>
          </w:p>
        </w:tc>
        <w:tc>
          <w:tcPr>
            <w:tcW w:w="1051" w:type="dxa"/>
            <w:tcBorders>
              <w:top w:val="single" w:sz="4" w:space="0" w:color="auto"/>
              <w:left w:val="nil"/>
              <w:bottom w:val="single" w:sz="4" w:space="0" w:color="auto"/>
              <w:right w:val="nil"/>
            </w:tcBorders>
            <w:shd w:val="clear" w:color="auto" w:fill="auto"/>
            <w:noWrap/>
            <w:vAlign w:val="center"/>
            <w:hideMark/>
          </w:tcPr>
          <w:p w:rsidR="00D47917" w:rsidRPr="008A3C80" w:rsidRDefault="00D47917" w:rsidP="00AD0F58">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NÃO</w:t>
            </w:r>
          </w:p>
        </w:tc>
        <w:tc>
          <w:tcPr>
            <w:tcW w:w="1229" w:type="dxa"/>
            <w:tcBorders>
              <w:top w:val="single" w:sz="4" w:space="0" w:color="auto"/>
              <w:left w:val="nil"/>
              <w:bottom w:val="single" w:sz="4" w:space="0" w:color="auto"/>
              <w:right w:val="nil"/>
            </w:tcBorders>
            <w:shd w:val="clear" w:color="auto" w:fill="auto"/>
            <w:noWrap/>
            <w:vAlign w:val="center"/>
            <w:hideMark/>
          </w:tcPr>
          <w:p w:rsidR="00D47917" w:rsidRPr="008A3C80" w:rsidRDefault="00D47917" w:rsidP="00AD0F58">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IGN</w:t>
            </w:r>
            <w:r w:rsidR="00DC590E" w:rsidRPr="008A3C80">
              <w:rPr>
                <w:rFonts w:ascii="Times New Roman" w:hAnsi="Times New Roman" w:cs="Arial"/>
                <w:color w:val="000000"/>
                <w:sz w:val="24"/>
                <w:szCs w:val="20"/>
                <w:lang w:eastAsia="pt-BR"/>
              </w:rPr>
              <w:t>ORADO</w:t>
            </w:r>
          </w:p>
        </w:tc>
      </w:tr>
      <w:tr w:rsidR="00D47917" w:rsidRPr="008A3C80" w:rsidTr="0079729E">
        <w:trPr>
          <w:trHeight w:val="315"/>
        </w:trPr>
        <w:tc>
          <w:tcPr>
            <w:tcW w:w="2484" w:type="dxa"/>
            <w:vMerge w:val="restart"/>
            <w:tcBorders>
              <w:top w:val="single" w:sz="4" w:space="0" w:color="auto"/>
              <w:left w:val="nil"/>
              <w:bottom w:val="nil"/>
            </w:tcBorders>
            <w:shd w:val="clear" w:color="auto" w:fill="auto"/>
            <w:vAlign w:val="bottom"/>
            <w:hideMark/>
          </w:tcPr>
          <w:p w:rsidR="00D47917" w:rsidRPr="008A3C80" w:rsidRDefault="00D47917" w:rsidP="00C57ACB">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Diagnóstico específico para asbestose</w:t>
            </w:r>
          </w:p>
        </w:tc>
        <w:tc>
          <w:tcPr>
            <w:tcW w:w="579" w:type="dxa"/>
            <w:tcBorders>
              <w:top w:val="single" w:sz="4" w:space="0" w:color="auto"/>
              <w:bottom w:val="nil"/>
            </w:tcBorders>
            <w:shd w:val="clear" w:color="auto" w:fill="auto"/>
            <w:noWrap/>
            <w:vAlign w:val="bottom"/>
            <w:hideMark/>
          </w:tcPr>
          <w:p w:rsidR="00D47917" w:rsidRPr="008A3C80" w:rsidRDefault="00D47917" w:rsidP="00C57ACB">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SIM</w:t>
            </w:r>
          </w:p>
        </w:tc>
        <w:tc>
          <w:tcPr>
            <w:tcW w:w="1080" w:type="dxa"/>
            <w:tcBorders>
              <w:top w:val="single" w:sz="4" w:space="0" w:color="auto"/>
              <w:left w:val="nil"/>
              <w:bottom w:val="nil"/>
              <w:right w:val="nil"/>
            </w:tcBorders>
            <w:shd w:val="clear" w:color="auto" w:fill="auto"/>
            <w:noWrap/>
            <w:vAlign w:val="bottom"/>
            <w:hideMark/>
          </w:tcPr>
          <w:p w:rsidR="00D47917" w:rsidRPr="008A3C80" w:rsidRDefault="00D47917" w:rsidP="00C57ACB">
            <w:pPr>
              <w:spacing w:after="0" w:line="240" w:lineRule="auto"/>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1179</w:t>
            </w:r>
          </w:p>
        </w:tc>
        <w:tc>
          <w:tcPr>
            <w:tcW w:w="1051" w:type="dxa"/>
            <w:tcBorders>
              <w:top w:val="single" w:sz="4" w:space="0" w:color="auto"/>
              <w:left w:val="nil"/>
              <w:bottom w:val="nil"/>
              <w:right w:val="nil"/>
            </w:tcBorders>
            <w:shd w:val="clear" w:color="auto" w:fill="auto"/>
            <w:noWrap/>
            <w:vAlign w:val="bottom"/>
            <w:hideMark/>
          </w:tcPr>
          <w:p w:rsidR="00D47917" w:rsidRPr="008A3C80" w:rsidRDefault="00D47917" w:rsidP="00C57ACB">
            <w:pPr>
              <w:spacing w:after="0" w:line="240" w:lineRule="auto"/>
              <w:jc w:val="center"/>
              <w:rPr>
                <w:rFonts w:ascii="Times New Roman" w:hAnsi="Times New Roman"/>
                <w:bCs/>
                <w:color w:val="000000"/>
                <w:sz w:val="24"/>
                <w:lang w:eastAsia="pt-BR"/>
              </w:rPr>
            </w:pPr>
            <w:proofErr w:type="gramStart"/>
            <w:r w:rsidRPr="008A3C80">
              <w:rPr>
                <w:rFonts w:ascii="Times New Roman" w:hAnsi="Times New Roman"/>
                <w:bCs/>
                <w:color w:val="000000"/>
                <w:sz w:val="24"/>
                <w:lang w:eastAsia="pt-BR"/>
              </w:rPr>
              <w:t>5</w:t>
            </w:r>
            <w:proofErr w:type="gramEnd"/>
          </w:p>
        </w:tc>
        <w:tc>
          <w:tcPr>
            <w:tcW w:w="1229" w:type="dxa"/>
            <w:tcBorders>
              <w:top w:val="single" w:sz="4" w:space="0" w:color="auto"/>
              <w:left w:val="nil"/>
              <w:bottom w:val="nil"/>
              <w:right w:val="nil"/>
            </w:tcBorders>
            <w:shd w:val="clear" w:color="auto" w:fill="auto"/>
            <w:noWrap/>
            <w:vAlign w:val="bottom"/>
            <w:hideMark/>
          </w:tcPr>
          <w:p w:rsidR="00D47917" w:rsidRPr="008A3C80" w:rsidRDefault="00D47917" w:rsidP="00C57ACB">
            <w:pPr>
              <w:spacing w:after="0" w:line="240" w:lineRule="auto"/>
              <w:jc w:val="center"/>
              <w:rPr>
                <w:rFonts w:ascii="Times New Roman" w:hAnsi="Times New Roman"/>
                <w:bCs/>
                <w:color w:val="000000"/>
                <w:sz w:val="24"/>
                <w:lang w:eastAsia="pt-BR"/>
              </w:rPr>
            </w:pPr>
            <w:proofErr w:type="gramStart"/>
            <w:r w:rsidRPr="008A3C80">
              <w:rPr>
                <w:rFonts w:ascii="Times New Roman" w:hAnsi="Times New Roman"/>
                <w:bCs/>
                <w:color w:val="000000"/>
                <w:sz w:val="24"/>
                <w:lang w:eastAsia="pt-BR"/>
              </w:rPr>
              <w:t>8</w:t>
            </w:r>
            <w:proofErr w:type="gramEnd"/>
          </w:p>
        </w:tc>
      </w:tr>
      <w:tr w:rsidR="00D47917" w:rsidRPr="008A3C80" w:rsidTr="0079729E">
        <w:trPr>
          <w:trHeight w:val="315"/>
        </w:trPr>
        <w:tc>
          <w:tcPr>
            <w:tcW w:w="2484" w:type="dxa"/>
            <w:vMerge/>
            <w:tcBorders>
              <w:top w:val="nil"/>
              <w:left w:val="nil"/>
              <w:bottom w:val="single" w:sz="4" w:space="0" w:color="auto"/>
            </w:tcBorders>
            <w:vAlign w:val="center"/>
            <w:hideMark/>
          </w:tcPr>
          <w:p w:rsidR="00D47917" w:rsidRPr="008A3C80" w:rsidRDefault="00D47917" w:rsidP="00C57ACB">
            <w:pPr>
              <w:spacing w:after="0" w:line="240" w:lineRule="auto"/>
              <w:rPr>
                <w:rFonts w:ascii="Times New Roman" w:hAnsi="Times New Roman"/>
                <w:b/>
                <w:color w:val="000000"/>
                <w:sz w:val="24"/>
                <w:lang w:eastAsia="pt-BR"/>
              </w:rPr>
            </w:pPr>
          </w:p>
        </w:tc>
        <w:tc>
          <w:tcPr>
            <w:tcW w:w="579" w:type="dxa"/>
            <w:tcBorders>
              <w:top w:val="nil"/>
              <w:bottom w:val="single" w:sz="4" w:space="0" w:color="auto"/>
            </w:tcBorders>
            <w:shd w:val="clear" w:color="auto" w:fill="auto"/>
            <w:noWrap/>
            <w:vAlign w:val="bottom"/>
            <w:hideMark/>
          </w:tcPr>
          <w:p w:rsidR="00D47917" w:rsidRPr="008A3C80" w:rsidRDefault="00D47917" w:rsidP="00C57ACB">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NÃO</w:t>
            </w:r>
          </w:p>
        </w:tc>
        <w:tc>
          <w:tcPr>
            <w:tcW w:w="1080" w:type="dxa"/>
            <w:tcBorders>
              <w:top w:val="nil"/>
              <w:left w:val="nil"/>
              <w:bottom w:val="single" w:sz="4" w:space="0" w:color="auto"/>
              <w:right w:val="nil"/>
            </w:tcBorders>
            <w:shd w:val="clear" w:color="auto" w:fill="auto"/>
            <w:noWrap/>
            <w:vAlign w:val="bottom"/>
            <w:hideMark/>
          </w:tcPr>
          <w:p w:rsidR="00D47917" w:rsidRPr="008A3C80" w:rsidRDefault="00D47917" w:rsidP="00C57ACB">
            <w:pPr>
              <w:spacing w:after="0" w:line="240" w:lineRule="auto"/>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38</w:t>
            </w:r>
          </w:p>
        </w:tc>
        <w:tc>
          <w:tcPr>
            <w:tcW w:w="1051" w:type="dxa"/>
            <w:tcBorders>
              <w:top w:val="nil"/>
              <w:left w:val="nil"/>
              <w:bottom w:val="single" w:sz="4" w:space="0" w:color="auto"/>
              <w:right w:val="nil"/>
            </w:tcBorders>
            <w:shd w:val="clear" w:color="auto" w:fill="auto"/>
            <w:noWrap/>
            <w:vAlign w:val="bottom"/>
            <w:hideMark/>
          </w:tcPr>
          <w:p w:rsidR="00D47917" w:rsidRPr="008A3C80" w:rsidRDefault="00D47917" w:rsidP="00C57A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621</w:t>
            </w:r>
          </w:p>
        </w:tc>
        <w:tc>
          <w:tcPr>
            <w:tcW w:w="1229" w:type="dxa"/>
            <w:tcBorders>
              <w:top w:val="nil"/>
              <w:left w:val="nil"/>
              <w:bottom w:val="single" w:sz="4" w:space="0" w:color="auto"/>
              <w:right w:val="nil"/>
            </w:tcBorders>
            <w:shd w:val="clear" w:color="auto" w:fill="auto"/>
            <w:noWrap/>
            <w:vAlign w:val="bottom"/>
            <w:hideMark/>
          </w:tcPr>
          <w:p w:rsidR="00D47917" w:rsidRPr="008A3C80" w:rsidRDefault="00D47917" w:rsidP="00C57A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224</w:t>
            </w:r>
          </w:p>
        </w:tc>
      </w:tr>
    </w:tbl>
    <w:p w:rsidR="0079729E" w:rsidRPr="008A3C80" w:rsidRDefault="0079729E" w:rsidP="0079729E">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Fonte: SINAN/MS.</w:t>
      </w:r>
      <w:r w:rsidR="00394250" w:rsidRPr="008A3C80">
        <w:rPr>
          <w:rFonts w:ascii="Times New Roman" w:hAnsi="Times New Roman"/>
          <w:color w:val="000000" w:themeColor="text1"/>
          <w:sz w:val="24"/>
          <w:szCs w:val="24"/>
        </w:rPr>
        <w:t xml:space="preserve"> Atualizado em 14/07/2014.</w:t>
      </w:r>
    </w:p>
    <w:p w:rsidR="0076029C" w:rsidRPr="008A3C80" w:rsidRDefault="00DB6FA4"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A</w:t>
      </w:r>
      <w:r w:rsidR="00154647" w:rsidRPr="008A3C80">
        <w:rPr>
          <w:rFonts w:ascii="Times New Roman" w:hAnsi="Times New Roman"/>
          <w:color w:val="000000" w:themeColor="text1"/>
          <w:sz w:val="24"/>
          <w:szCs w:val="24"/>
        </w:rPr>
        <w:t>s</w:t>
      </w:r>
      <w:r w:rsidRPr="008A3C80">
        <w:rPr>
          <w:rFonts w:ascii="Times New Roman" w:hAnsi="Times New Roman"/>
          <w:color w:val="000000" w:themeColor="text1"/>
          <w:sz w:val="24"/>
          <w:szCs w:val="24"/>
        </w:rPr>
        <w:t xml:space="preserve"> faixa</w:t>
      </w:r>
      <w:r w:rsidR="00154647" w:rsidRPr="008A3C80">
        <w:rPr>
          <w:rFonts w:ascii="Times New Roman" w:hAnsi="Times New Roman"/>
          <w:color w:val="000000" w:themeColor="text1"/>
          <w:sz w:val="24"/>
          <w:szCs w:val="24"/>
        </w:rPr>
        <w:t>s</w:t>
      </w:r>
      <w:r w:rsidRPr="008A3C80">
        <w:rPr>
          <w:rFonts w:ascii="Times New Roman" w:hAnsi="Times New Roman"/>
          <w:color w:val="000000" w:themeColor="text1"/>
          <w:sz w:val="24"/>
          <w:szCs w:val="24"/>
        </w:rPr>
        <w:t xml:space="preserve"> etária</w:t>
      </w:r>
      <w:r w:rsidR="00154647" w:rsidRPr="008A3C80">
        <w:rPr>
          <w:rFonts w:ascii="Times New Roman" w:hAnsi="Times New Roman"/>
          <w:color w:val="000000" w:themeColor="text1"/>
          <w:sz w:val="24"/>
          <w:szCs w:val="24"/>
        </w:rPr>
        <w:t>s</w:t>
      </w:r>
      <w:r w:rsidRPr="008A3C80">
        <w:rPr>
          <w:rFonts w:ascii="Times New Roman" w:hAnsi="Times New Roman"/>
          <w:color w:val="000000" w:themeColor="text1"/>
          <w:sz w:val="24"/>
          <w:szCs w:val="24"/>
        </w:rPr>
        <w:t xml:space="preserve"> mais atingida</w:t>
      </w:r>
      <w:r w:rsidR="00154647" w:rsidRPr="008A3C80">
        <w:rPr>
          <w:rFonts w:ascii="Times New Roman" w:hAnsi="Times New Roman"/>
          <w:color w:val="000000" w:themeColor="text1"/>
          <w:sz w:val="24"/>
          <w:szCs w:val="24"/>
        </w:rPr>
        <w:t xml:space="preserve">s foram as que se encontram acima dos 50 anos, sendo entre </w:t>
      </w:r>
      <w:r w:rsidRPr="008A3C80">
        <w:rPr>
          <w:rFonts w:ascii="Times New Roman" w:hAnsi="Times New Roman"/>
          <w:color w:val="000000" w:themeColor="text1"/>
          <w:sz w:val="24"/>
          <w:szCs w:val="24"/>
        </w:rPr>
        <w:t>60-69 anos</w:t>
      </w:r>
      <w:r w:rsidR="00154647" w:rsidRPr="008A3C80">
        <w:rPr>
          <w:rFonts w:ascii="Times New Roman" w:hAnsi="Times New Roman"/>
          <w:color w:val="000000" w:themeColor="text1"/>
          <w:sz w:val="24"/>
          <w:szCs w:val="24"/>
        </w:rPr>
        <w:t xml:space="preserve"> </w:t>
      </w:r>
      <w:r w:rsidR="00DC590E" w:rsidRPr="008A3C80">
        <w:rPr>
          <w:rFonts w:ascii="Times New Roman" w:hAnsi="Times New Roman"/>
          <w:color w:val="000000" w:themeColor="text1"/>
          <w:sz w:val="24"/>
          <w:szCs w:val="24"/>
        </w:rPr>
        <w:t>a faixa etária mais atingida</w:t>
      </w:r>
      <w:r w:rsidRPr="008A3C80">
        <w:rPr>
          <w:rFonts w:ascii="Times New Roman" w:hAnsi="Times New Roman"/>
          <w:color w:val="000000" w:themeColor="text1"/>
          <w:sz w:val="24"/>
          <w:szCs w:val="24"/>
        </w:rPr>
        <w:t xml:space="preserve"> com 415 registros,</w:t>
      </w:r>
      <w:r w:rsidR="00154647" w:rsidRPr="008A3C80">
        <w:rPr>
          <w:rFonts w:ascii="Times New Roman" w:hAnsi="Times New Roman"/>
          <w:color w:val="000000" w:themeColor="text1"/>
          <w:sz w:val="24"/>
          <w:szCs w:val="24"/>
        </w:rPr>
        <w:t xml:space="preserve"> seguido das</w:t>
      </w:r>
      <w:r w:rsidR="00DC590E" w:rsidRPr="008A3C80">
        <w:rPr>
          <w:rFonts w:ascii="Times New Roman" w:hAnsi="Times New Roman"/>
          <w:color w:val="000000" w:themeColor="text1"/>
          <w:sz w:val="24"/>
          <w:szCs w:val="24"/>
        </w:rPr>
        <w:t xml:space="preserve"> faixas de</w:t>
      </w:r>
      <w:r w:rsidR="00154647" w:rsidRPr="008A3C80">
        <w:rPr>
          <w:rFonts w:ascii="Times New Roman" w:hAnsi="Times New Roman"/>
          <w:color w:val="000000" w:themeColor="text1"/>
          <w:sz w:val="24"/>
          <w:szCs w:val="24"/>
        </w:rPr>
        <w:t xml:space="preserve"> 50-59 anos</w:t>
      </w:r>
      <w:r w:rsidRPr="008A3C80">
        <w:rPr>
          <w:rFonts w:ascii="Times New Roman" w:hAnsi="Times New Roman"/>
          <w:color w:val="000000" w:themeColor="text1"/>
          <w:sz w:val="24"/>
          <w:szCs w:val="24"/>
        </w:rPr>
        <w:t xml:space="preserve"> com 387 </w:t>
      </w:r>
      <w:r w:rsidR="00154647" w:rsidRPr="008A3C80">
        <w:rPr>
          <w:rFonts w:ascii="Times New Roman" w:hAnsi="Times New Roman"/>
          <w:color w:val="000000" w:themeColor="text1"/>
          <w:sz w:val="24"/>
          <w:szCs w:val="24"/>
        </w:rPr>
        <w:t>e</w:t>
      </w:r>
      <w:r w:rsidRPr="008A3C80">
        <w:rPr>
          <w:rFonts w:ascii="Times New Roman" w:hAnsi="Times New Roman"/>
          <w:color w:val="000000" w:themeColor="text1"/>
          <w:sz w:val="24"/>
          <w:szCs w:val="24"/>
        </w:rPr>
        <w:t xml:space="preserve"> </w:t>
      </w:r>
      <w:r w:rsidR="00154647" w:rsidRPr="008A3C80">
        <w:rPr>
          <w:rFonts w:ascii="Times New Roman" w:hAnsi="Times New Roman"/>
          <w:color w:val="000000" w:themeColor="text1"/>
          <w:sz w:val="24"/>
          <w:szCs w:val="24"/>
        </w:rPr>
        <w:t>70-79 anos com 214</w:t>
      </w:r>
      <w:r w:rsidR="00642238" w:rsidRPr="008A3C80">
        <w:rPr>
          <w:rFonts w:ascii="Times New Roman" w:hAnsi="Times New Roman"/>
          <w:color w:val="000000" w:themeColor="text1"/>
          <w:sz w:val="24"/>
          <w:szCs w:val="24"/>
        </w:rPr>
        <w:t xml:space="preserve"> </w:t>
      </w:r>
      <w:r w:rsidR="0066045C" w:rsidRPr="008A3C80">
        <w:rPr>
          <w:rFonts w:ascii="Times New Roman" w:hAnsi="Times New Roman"/>
          <w:color w:val="000000" w:themeColor="text1"/>
          <w:sz w:val="24"/>
          <w:szCs w:val="24"/>
        </w:rPr>
        <w:t>(</w:t>
      </w:r>
      <w:r w:rsidR="00C70491" w:rsidRPr="008A3C80">
        <w:rPr>
          <w:rFonts w:ascii="Times New Roman" w:hAnsi="Times New Roman"/>
          <w:color w:val="000000" w:themeColor="text1"/>
          <w:sz w:val="24"/>
          <w:szCs w:val="24"/>
        </w:rPr>
        <w:t>Tabela 3</w:t>
      </w:r>
      <w:r w:rsidR="0066045C" w:rsidRPr="008A3C80">
        <w:rPr>
          <w:rFonts w:ascii="Times New Roman" w:hAnsi="Times New Roman"/>
          <w:color w:val="000000" w:themeColor="text1"/>
          <w:sz w:val="24"/>
          <w:szCs w:val="24"/>
        </w:rPr>
        <w:t>)</w:t>
      </w:r>
      <w:r w:rsidR="00C70491" w:rsidRPr="008A3C80">
        <w:rPr>
          <w:rFonts w:ascii="Times New Roman" w:hAnsi="Times New Roman"/>
          <w:color w:val="000000" w:themeColor="text1"/>
          <w:sz w:val="24"/>
          <w:szCs w:val="24"/>
        </w:rPr>
        <w:t xml:space="preserve">. </w:t>
      </w:r>
      <w:r w:rsidR="002C5F1F" w:rsidRPr="008A3C80">
        <w:rPr>
          <w:rFonts w:ascii="Times New Roman" w:hAnsi="Times New Roman"/>
          <w:color w:val="000000" w:themeColor="text1"/>
          <w:sz w:val="24"/>
          <w:szCs w:val="24"/>
        </w:rPr>
        <w:t>Os pacientes com história de exposição ao asbesto costumam apresentar um longo período de latência (20-30 anos) entre a exposição e o diagnóstico</w:t>
      </w:r>
      <w:r w:rsidR="00DC590E" w:rsidRPr="008A3C80">
        <w:rPr>
          <w:rFonts w:ascii="Times New Roman" w:hAnsi="Times New Roman"/>
          <w:color w:val="000000" w:themeColor="text1"/>
          <w:sz w:val="24"/>
          <w:szCs w:val="24"/>
        </w:rPr>
        <w:t xml:space="preserve"> </w:t>
      </w:r>
      <w:r w:rsidR="00FA08E7" w:rsidRPr="008A3C80">
        <w:rPr>
          <w:rFonts w:ascii="Times New Roman" w:hAnsi="Times New Roman"/>
          <w:color w:val="000000" w:themeColor="text1"/>
          <w:sz w:val="24"/>
          <w:szCs w:val="24"/>
        </w:rPr>
        <w:t>(</w:t>
      </w:r>
      <w:r w:rsidR="00307F5D" w:rsidRPr="008A3C80">
        <w:rPr>
          <w:rFonts w:ascii="Times New Roman" w:hAnsi="Times New Roman"/>
          <w:color w:val="000000" w:themeColor="text1"/>
          <w:sz w:val="24"/>
          <w:szCs w:val="24"/>
        </w:rPr>
        <w:t>Camargo, 2014</w:t>
      </w:r>
      <w:r w:rsidR="00FA08E7" w:rsidRPr="008A3C80">
        <w:rPr>
          <w:rFonts w:ascii="Times New Roman" w:hAnsi="Times New Roman"/>
          <w:color w:val="000000" w:themeColor="text1"/>
          <w:sz w:val="24"/>
          <w:szCs w:val="24"/>
        </w:rPr>
        <w:t>)</w:t>
      </w:r>
      <w:proofErr w:type="gramStart"/>
      <w:r w:rsidR="00307F5D" w:rsidRPr="008A3C80">
        <w:rPr>
          <w:rFonts w:ascii="Times New Roman" w:hAnsi="Times New Roman"/>
          <w:sz w:val="24"/>
          <w:szCs w:val="24"/>
          <w:vertAlign w:val="superscript"/>
        </w:rPr>
        <w:t>7</w:t>
      </w:r>
      <w:proofErr w:type="gramEnd"/>
      <w:r w:rsidR="00060DB8" w:rsidRPr="008A3C80">
        <w:rPr>
          <w:rFonts w:ascii="Times New Roman" w:hAnsi="Times New Roman"/>
          <w:color w:val="000000" w:themeColor="text1"/>
          <w:sz w:val="24"/>
          <w:szCs w:val="24"/>
        </w:rPr>
        <w:t>.</w:t>
      </w:r>
      <w:r w:rsidR="00060DB8" w:rsidRPr="008A3C80">
        <w:rPr>
          <w:rFonts w:ascii="Times New Roman" w:hAnsi="Times New Roman"/>
          <w:sz w:val="24"/>
          <w:szCs w:val="24"/>
          <w:vertAlign w:val="superscript"/>
        </w:rPr>
        <w:t xml:space="preserve"> </w:t>
      </w:r>
      <w:r w:rsidR="00C70491" w:rsidRPr="008A3C80">
        <w:rPr>
          <w:rFonts w:ascii="Times New Roman" w:hAnsi="Times New Roman"/>
          <w:color w:val="000000" w:themeColor="text1"/>
          <w:sz w:val="24"/>
          <w:szCs w:val="24"/>
        </w:rPr>
        <w:t xml:space="preserve">Por conseguinte, </w:t>
      </w:r>
      <w:r w:rsidR="00C72706" w:rsidRPr="008A3C80">
        <w:rPr>
          <w:rFonts w:ascii="Times New Roman" w:hAnsi="Times New Roman"/>
          <w:color w:val="000000" w:themeColor="text1"/>
          <w:sz w:val="24"/>
          <w:szCs w:val="24"/>
        </w:rPr>
        <w:t>d</w:t>
      </w:r>
      <w:r w:rsidR="00051348" w:rsidRPr="008A3C80">
        <w:rPr>
          <w:rFonts w:ascii="Times New Roman" w:hAnsi="Times New Roman"/>
          <w:color w:val="000000" w:themeColor="text1"/>
          <w:sz w:val="24"/>
          <w:szCs w:val="24"/>
        </w:rPr>
        <w:t>o período em que um trabalhador foi exposto ao asbesto</w:t>
      </w:r>
      <w:r w:rsidR="00851B12" w:rsidRPr="008A3C80">
        <w:rPr>
          <w:rFonts w:ascii="Times New Roman" w:hAnsi="Times New Roman"/>
          <w:color w:val="000000" w:themeColor="text1"/>
          <w:sz w:val="24"/>
          <w:szCs w:val="24"/>
        </w:rPr>
        <w:t xml:space="preserve"> e</w:t>
      </w:r>
      <w:r w:rsidR="00051348" w:rsidRPr="008A3C80">
        <w:rPr>
          <w:rFonts w:ascii="Times New Roman" w:hAnsi="Times New Roman"/>
          <w:color w:val="000000" w:themeColor="text1"/>
          <w:sz w:val="24"/>
          <w:szCs w:val="24"/>
        </w:rPr>
        <w:t xml:space="preserve"> até </w:t>
      </w:r>
      <w:r w:rsidR="00851B12" w:rsidRPr="008A3C80">
        <w:rPr>
          <w:rFonts w:ascii="Times New Roman" w:hAnsi="Times New Roman"/>
          <w:color w:val="000000" w:themeColor="text1"/>
          <w:sz w:val="24"/>
          <w:szCs w:val="24"/>
        </w:rPr>
        <w:t xml:space="preserve">que </w:t>
      </w:r>
      <w:r w:rsidR="00C72706" w:rsidRPr="008A3C80">
        <w:rPr>
          <w:rFonts w:ascii="Times New Roman" w:hAnsi="Times New Roman"/>
          <w:color w:val="000000" w:themeColor="text1"/>
          <w:sz w:val="24"/>
          <w:szCs w:val="24"/>
        </w:rPr>
        <w:t xml:space="preserve">se </w:t>
      </w:r>
      <w:r w:rsidR="00851B12" w:rsidRPr="008A3C80">
        <w:rPr>
          <w:rFonts w:ascii="Times New Roman" w:hAnsi="Times New Roman"/>
          <w:color w:val="000000" w:themeColor="text1"/>
          <w:sz w:val="24"/>
          <w:szCs w:val="24"/>
        </w:rPr>
        <w:t>receba</w:t>
      </w:r>
      <w:r w:rsidR="00051348" w:rsidRPr="008A3C80">
        <w:rPr>
          <w:rFonts w:ascii="Times New Roman" w:hAnsi="Times New Roman"/>
          <w:color w:val="000000" w:themeColor="text1"/>
          <w:sz w:val="24"/>
          <w:szCs w:val="24"/>
        </w:rPr>
        <w:t xml:space="preserve"> o diagnóstico</w:t>
      </w:r>
      <w:r w:rsidR="009944E9" w:rsidRPr="008A3C80">
        <w:rPr>
          <w:rFonts w:ascii="Times New Roman" w:hAnsi="Times New Roman"/>
          <w:color w:val="000000" w:themeColor="text1"/>
          <w:sz w:val="24"/>
          <w:szCs w:val="24"/>
        </w:rPr>
        <w:t xml:space="preserve"> para asbestose</w:t>
      </w:r>
      <w:r w:rsidR="00C72706" w:rsidRPr="008A3C80">
        <w:rPr>
          <w:rFonts w:ascii="Times New Roman" w:hAnsi="Times New Roman"/>
          <w:color w:val="000000" w:themeColor="text1"/>
          <w:sz w:val="24"/>
          <w:szCs w:val="24"/>
        </w:rPr>
        <w:t xml:space="preserve">, o mesmo </w:t>
      </w:r>
      <w:r w:rsidR="00851B12" w:rsidRPr="008A3C80">
        <w:rPr>
          <w:rFonts w:ascii="Times New Roman" w:hAnsi="Times New Roman"/>
          <w:color w:val="000000" w:themeColor="text1"/>
          <w:sz w:val="24"/>
          <w:szCs w:val="24"/>
        </w:rPr>
        <w:t xml:space="preserve">pode já se </w:t>
      </w:r>
      <w:r w:rsidR="00051348" w:rsidRPr="008A3C80">
        <w:rPr>
          <w:rFonts w:ascii="Times New Roman" w:hAnsi="Times New Roman"/>
          <w:color w:val="000000" w:themeColor="text1"/>
          <w:sz w:val="24"/>
          <w:szCs w:val="24"/>
        </w:rPr>
        <w:t>encontrar aposentado</w:t>
      </w:r>
      <w:r w:rsidR="00851B12" w:rsidRPr="008A3C80">
        <w:rPr>
          <w:rFonts w:ascii="Times New Roman" w:hAnsi="Times New Roman"/>
          <w:color w:val="000000" w:themeColor="text1"/>
          <w:sz w:val="24"/>
          <w:szCs w:val="24"/>
        </w:rPr>
        <w:t xml:space="preserve">, o que refletiu no campo </w:t>
      </w:r>
      <w:r w:rsidR="00851B12" w:rsidRPr="008A3C80">
        <w:rPr>
          <w:rFonts w:ascii="Times New Roman" w:hAnsi="Times New Roman"/>
          <w:i/>
          <w:color w:val="000000" w:themeColor="text1"/>
          <w:sz w:val="24"/>
          <w:szCs w:val="24"/>
        </w:rPr>
        <w:t>situação no mercado de trabalho</w:t>
      </w:r>
      <w:r w:rsidR="00C72706" w:rsidRPr="008A3C80">
        <w:rPr>
          <w:rFonts w:ascii="Times New Roman" w:hAnsi="Times New Roman"/>
          <w:i/>
          <w:color w:val="000000" w:themeColor="text1"/>
          <w:sz w:val="24"/>
          <w:szCs w:val="24"/>
        </w:rPr>
        <w:t>,</w:t>
      </w:r>
      <w:r w:rsidR="00851B12" w:rsidRPr="008A3C80">
        <w:rPr>
          <w:rFonts w:ascii="Times New Roman" w:hAnsi="Times New Roman"/>
          <w:i/>
          <w:color w:val="000000" w:themeColor="text1"/>
          <w:sz w:val="24"/>
          <w:szCs w:val="24"/>
        </w:rPr>
        <w:t xml:space="preserve"> </w:t>
      </w:r>
      <w:r w:rsidR="00851B12" w:rsidRPr="008A3C80">
        <w:rPr>
          <w:rFonts w:ascii="Times New Roman" w:hAnsi="Times New Roman"/>
          <w:color w:val="000000" w:themeColor="text1"/>
          <w:sz w:val="24"/>
          <w:szCs w:val="24"/>
        </w:rPr>
        <w:t xml:space="preserve">que </w:t>
      </w:r>
      <w:r w:rsidR="00051348" w:rsidRPr="008A3C80">
        <w:rPr>
          <w:rFonts w:ascii="Times New Roman" w:hAnsi="Times New Roman"/>
          <w:color w:val="000000" w:themeColor="text1"/>
          <w:sz w:val="24"/>
          <w:szCs w:val="24"/>
        </w:rPr>
        <w:t>neste estudo ocorreu com</w:t>
      </w:r>
      <w:r w:rsidR="00097ECE" w:rsidRPr="008A3C80">
        <w:rPr>
          <w:rFonts w:ascii="Times New Roman" w:hAnsi="Times New Roman"/>
          <w:color w:val="000000" w:themeColor="text1"/>
          <w:sz w:val="24"/>
          <w:szCs w:val="24"/>
        </w:rPr>
        <w:t xml:space="preserve"> </w:t>
      </w:r>
      <w:r w:rsidR="00060DB8" w:rsidRPr="008A3C80">
        <w:rPr>
          <w:rFonts w:ascii="Times New Roman" w:hAnsi="Times New Roman"/>
          <w:color w:val="000000" w:themeColor="text1"/>
          <w:sz w:val="24"/>
          <w:szCs w:val="24"/>
        </w:rPr>
        <w:t>47%</w:t>
      </w:r>
      <w:r w:rsidR="00AA084B" w:rsidRPr="008A3C80">
        <w:rPr>
          <w:rFonts w:ascii="Times New Roman" w:hAnsi="Times New Roman"/>
          <w:color w:val="000000" w:themeColor="text1"/>
          <w:sz w:val="24"/>
          <w:szCs w:val="24"/>
        </w:rPr>
        <w:t xml:space="preserve"> (</w:t>
      </w:r>
      <w:r w:rsidR="00060DB8" w:rsidRPr="008A3C80">
        <w:rPr>
          <w:rFonts w:ascii="Times New Roman" w:hAnsi="Times New Roman"/>
          <w:color w:val="000000" w:themeColor="text1"/>
          <w:sz w:val="24"/>
          <w:szCs w:val="24"/>
        </w:rPr>
        <w:t>556</w:t>
      </w:r>
      <w:r w:rsidR="00AA084B" w:rsidRPr="008A3C80">
        <w:rPr>
          <w:rFonts w:ascii="Times New Roman" w:hAnsi="Times New Roman"/>
          <w:color w:val="000000" w:themeColor="text1"/>
          <w:sz w:val="24"/>
          <w:szCs w:val="24"/>
        </w:rPr>
        <w:t>) dos</w:t>
      </w:r>
      <w:r w:rsidR="00060DB8" w:rsidRPr="008A3C80">
        <w:rPr>
          <w:rFonts w:ascii="Times New Roman" w:hAnsi="Times New Roman"/>
          <w:color w:val="000000" w:themeColor="text1"/>
          <w:sz w:val="24"/>
          <w:szCs w:val="24"/>
        </w:rPr>
        <w:t xml:space="preserve"> </w:t>
      </w:r>
      <w:r w:rsidR="00097ECE" w:rsidRPr="008A3C80">
        <w:rPr>
          <w:rFonts w:ascii="Times New Roman" w:hAnsi="Times New Roman"/>
          <w:color w:val="000000" w:themeColor="text1"/>
          <w:sz w:val="24"/>
          <w:szCs w:val="24"/>
        </w:rPr>
        <w:t xml:space="preserve">trabalhadores </w:t>
      </w:r>
      <w:r w:rsidR="00060DB8" w:rsidRPr="008A3C80">
        <w:rPr>
          <w:rFonts w:ascii="Times New Roman" w:hAnsi="Times New Roman"/>
          <w:color w:val="000000" w:themeColor="text1"/>
          <w:sz w:val="24"/>
          <w:szCs w:val="24"/>
        </w:rPr>
        <w:t xml:space="preserve">aposentados. </w:t>
      </w:r>
      <w:r w:rsidR="002F15AA" w:rsidRPr="008A3C80">
        <w:rPr>
          <w:rFonts w:ascii="Times New Roman" w:hAnsi="Times New Roman"/>
          <w:color w:val="000000" w:themeColor="text1"/>
          <w:sz w:val="24"/>
          <w:szCs w:val="24"/>
        </w:rPr>
        <w:t xml:space="preserve">O </w:t>
      </w:r>
      <w:r w:rsidR="002F15AA" w:rsidRPr="008A3C80">
        <w:rPr>
          <w:rFonts w:ascii="Times New Roman" w:hAnsi="Times New Roman"/>
          <w:i/>
          <w:color w:val="000000" w:themeColor="text1"/>
          <w:sz w:val="24"/>
          <w:szCs w:val="24"/>
        </w:rPr>
        <w:t>hábito de fumar</w:t>
      </w:r>
      <w:r w:rsidR="002F15AA" w:rsidRPr="008A3C80">
        <w:rPr>
          <w:rFonts w:ascii="Times New Roman" w:hAnsi="Times New Roman"/>
          <w:color w:val="000000" w:themeColor="text1"/>
          <w:sz w:val="24"/>
          <w:szCs w:val="24"/>
        </w:rPr>
        <w:t xml:space="preserve"> foi pouco citado nos registros, com 90% </w:t>
      </w:r>
      <w:r w:rsidR="002F15AA" w:rsidRPr="008A3C80">
        <w:rPr>
          <w:rFonts w:ascii="Times New Roman" w:hAnsi="Times New Roman"/>
          <w:color w:val="000000" w:themeColor="text1"/>
          <w:sz w:val="24"/>
          <w:szCs w:val="24"/>
        </w:rPr>
        <w:lastRenderedPageBreak/>
        <w:t xml:space="preserve">(1069) das informações em branco ou ignorado, e apenas 3% (36) relataram ser </w:t>
      </w:r>
      <w:proofErr w:type="spellStart"/>
      <w:r w:rsidR="002F15AA" w:rsidRPr="008A3C80">
        <w:rPr>
          <w:rFonts w:ascii="Times New Roman" w:hAnsi="Times New Roman"/>
          <w:color w:val="000000" w:themeColor="text1"/>
          <w:sz w:val="24"/>
          <w:szCs w:val="24"/>
        </w:rPr>
        <w:t>ex-fumantes</w:t>
      </w:r>
      <w:proofErr w:type="spellEnd"/>
      <w:r w:rsidR="002F15AA" w:rsidRPr="008A3C80">
        <w:rPr>
          <w:rFonts w:ascii="Times New Roman" w:hAnsi="Times New Roman"/>
          <w:color w:val="000000" w:themeColor="text1"/>
          <w:sz w:val="24"/>
          <w:szCs w:val="24"/>
        </w:rPr>
        <w:t>, 2% (28</w:t>
      </w:r>
      <w:r w:rsidR="006637F8" w:rsidRPr="008A3C80">
        <w:rPr>
          <w:rFonts w:ascii="Times New Roman" w:hAnsi="Times New Roman"/>
          <w:color w:val="000000" w:themeColor="text1"/>
          <w:sz w:val="24"/>
          <w:szCs w:val="24"/>
        </w:rPr>
        <w:t xml:space="preserve">) </w:t>
      </w:r>
      <w:r w:rsidR="00486647" w:rsidRPr="008A3C80">
        <w:rPr>
          <w:rFonts w:ascii="Times New Roman" w:hAnsi="Times New Roman"/>
          <w:color w:val="000000" w:themeColor="text1"/>
          <w:sz w:val="24"/>
          <w:szCs w:val="24"/>
        </w:rPr>
        <w:t>eram fumantes atuais</w:t>
      </w:r>
      <w:r w:rsidR="006637F8" w:rsidRPr="008A3C80">
        <w:rPr>
          <w:rFonts w:ascii="Times New Roman" w:hAnsi="Times New Roman"/>
          <w:color w:val="000000" w:themeColor="text1"/>
          <w:sz w:val="24"/>
          <w:szCs w:val="24"/>
        </w:rPr>
        <w:t xml:space="preserve"> e </w:t>
      </w:r>
      <w:r w:rsidR="002F15AA" w:rsidRPr="008A3C80">
        <w:rPr>
          <w:rFonts w:ascii="Times New Roman" w:hAnsi="Times New Roman"/>
          <w:color w:val="000000" w:themeColor="text1"/>
          <w:sz w:val="24"/>
          <w:szCs w:val="24"/>
        </w:rPr>
        <w:t>5% (59)</w:t>
      </w:r>
      <w:r w:rsidR="006637F8" w:rsidRPr="008A3C80">
        <w:rPr>
          <w:rFonts w:ascii="Times New Roman" w:hAnsi="Times New Roman"/>
          <w:color w:val="000000" w:themeColor="text1"/>
          <w:sz w:val="24"/>
          <w:szCs w:val="24"/>
        </w:rPr>
        <w:t xml:space="preserve"> afirmaram não ter o hábito de fumar</w:t>
      </w:r>
      <w:r w:rsidR="003F2AC0" w:rsidRPr="008A3C80">
        <w:rPr>
          <w:rFonts w:ascii="Times New Roman" w:hAnsi="Times New Roman"/>
          <w:color w:val="000000" w:themeColor="text1"/>
          <w:sz w:val="24"/>
          <w:szCs w:val="24"/>
        </w:rPr>
        <w:t xml:space="preserve">. Em relação ao sexo, 96% das notificações foram de trabalhadores do sexo masculino, </w:t>
      </w:r>
      <w:r w:rsidR="00203582" w:rsidRPr="008A3C80">
        <w:rPr>
          <w:rFonts w:ascii="Times New Roman" w:hAnsi="Times New Roman"/>
          <w:color w:val="000000" w:themeColor="text1"/>
          <w:sz w:val="24"/>
          <w:szCs w:val="24"/>
        </w:rPr>
        <w:t xml:space="preserve">provavelmente </w:t>
      </w:r>
      <w:r w:rsidR="003F2AC0" w:rsidRPr="008A3C80">
        <w:rPr>
          <w:rFonts w:ascii="Times New Roman" w:hAnsi="Times New Roman"/>
          <w:color w:val="000000" w:themeColor="text1"/>
          <w:sz w:val="24"/>
          <w:szCs w:val="24"/>
        </w:rPr>
        <w:t>devido à predominância da mão-de-obra masculina no tipo de trabalho executado</w:t>
      </w:r>
      <w:r w:rsidR="00851B12" w:rsidRPr="008A3C80">
        <w:rPr>
          <w:rFonts w:ascii="Times New Roman" w:hAnsi="Times New Roman"/>
          <w:color w:val="000000" w:themeColor="text1"/>
          <w:sz w:val="24"/>
          <w:szCs w:val="24"/>
        </w:rPr>
        <w:t xml:space="preserve"> (</w:t>
      </w:r>
      <w:r w:rsidR="006637F8" w:rsidRPr="008A3C80">
        <w:rPr>
          <w:rFonts w:ascii="Times New Roman" w:hAnsi="Times New Roman"/>
          <w:color w:val="000000" w:themeColor="text1"/>
          <w:sz w:val="24"/>
          <w:szCs w:val="24"/>
        </w:rPr>
        <w:t>Tabela 3</w:t>
      </w:r>
      <w:r w:rsidR="00851B12" w:rsidRPr="008A3C80">
        <w:rPr>
          <w:rFonts w:ascii="Times New Roman" w:hAnsi="Times New Roman"/>
          <w:color w:val="000000" w:themeColor="text1"/>
          <w:sz w:val="24"/>
          <w:szCs w:val="24"/>
        </w:rPr>
        <w:t>).</w:t>
      </w:r>
    </w:p>
    <w:p w:rsidR="003353EF" w:rsidRPr="008A3C80" w:rsidRDefault="00AA084B" w:rsidP="003353EF">
      <w:pPr>
        <w:autoSpaceDE w:val="0"/>
        <w:autoSpaceDN w:val="0"/>
        <w:adjustRightInd w:val="0"/>
        <w:spacing w:line="480" w:lineRule="auto"/>
        <w:jc w:val="both"/>
        <w:rPr>
          <w:rFonts w:ascii="Times New Roman" w:hAnsi="Times New Roman"/>
          <w:color w:val="000000" w:themeColor="text1"/>
          <w:sz w:val="24"/>
          <w:szCs w:val="24"/>
        </w:rPr>
      </w:pPr>
      <w:r w:rsidRPr="00556088">
        <w:rPr>
          <w:rFonts w:ascii="Times New Roman" w:hAnsi="Times New Roman"/>
          <w:b/>
          <w:color w:val="000000" w:themeColor="text1"/>
          <w:sz w:val="24"/>
          <w:szCs w:val="24"/>
        </w:rPr>
        <w:t>Tabela 3</w:t>
      </w:r>
      <w:r w:rsidR="003353EF" w:rsidRPr="008A3C80">
        <w:rPr>
          <w:rFonts w:ascii="Times New Roman" w:hAnsi="Times New Roman"/>
          <w:color w:val="000000" w:themeColor="text1"/>
          <w:sz w:val="24"/>
          <w:szCs w:val="24"/>
        </w:rPr>
        <w:t xml:space="preserve">: </w:t>
      </w:r>
      <w:r w:rsidR="009F4E1C" w:rsidRPr="008A3C80">
        <w:rPr>
          <w:rFonts w:ascii="Times New Roman" w:hAnsi="Times New Roman"/>
          <w:color w:val="000000" w:themeColor="text1"/>
          <w:sz w:val="24"/>
          <w:szCs w:val="24"/>
        </w:rPr>
        <w:t>Número (N) e proporção total (%)</w:t>
      </w:r>
      <w:r w:rsidR="003353EF" w:rsidRPr="008A3C80">
        <w:rPr>
          <w:rFonts w:ascii="Times New Roman" w:hAnsi="Times New Roman"/>
          <w:color w:val="000000" w:themeColor="text1"/>
          <w:sz w:val="24"/>
          <w:szCs w:val="24"/>
        </w:rPr>
        <w:t xml:space="preserve">, dos casos de asbestose em trabalhadores, segundo </w:t>
      </w:r>
      <w:r w:rsidR="00E44DCF" w:rsidRPr="008A3C80">
        <w:rPr>
          <w:rFonts w:ascii="Times New Roman" w:hAnsi="Times New Roman"/>
          <w:color w:val="000000" w:themeColor="text1"/>
          <w:sz w:val="24"/>
          <w:szCs w:val="24"/>
        </w:rPr>
        <w:t xml:space="preserve">a faixa etária, </w:t>
      </w:r>
      <w:r w:rsidR="00797F04" w:rsidRPr="008A3C80">
        <w:rPr>
          <w:rFonts w:ascii="Times New Roman" w:hAnsi="Times New Roman"/>
          <w:color w:val="000000" w:themeColor="text1"/>
          <w:sz w:val="24"/>
          <w:szCs w:val="24"/>
        </w:rPr>
        <w:t>o sexo, o</w:t>
      </w:r>
      <w:r w:rsidR="00E44DCF" w:rsidRPr="008A3C80">
        <w:rPr>
          <w:rFonts w:ascii="Times New Roman" w:hAnsi="Times New Roman"/>
          <w:color w:val="000000" w:themeColor="text1"/>
          <w:sz w:val="24"/>
          <w:szCs w:val="24"/>
        </w:rPr>
        <w:t xml:space="preserve"> hábito de </w:t>
      </w:r>
      <w:r w:rsidR="00797F04" w:rsidRPr="008A3C80">
        <w:rPr>
          <w:rFonts w:ascii="Times New Roman" w:hAnsi="Times New Roman"/>
          <w:color w:val="000000" w:themeColor="text1"/>
          <w:sz w:val="24"/>
          <w:szCs w:val="24"/>
        </w:rPr>
        <w:t xml:space="preserve">fumar e o ano de notificação </w:t>
      </w:r>
      <w:r w:rsidR="003353EF" w:rsidRPr="008A3C80">
        <w:rPr>
          <w:rFonts w:ascii="Times New Roman" w:hAnsi="Times New Roman"/>
          <w:color w:val="000000" w:themeColor="text1"/>
          <w:sz w:val="24"/>
          <w:szCs w:val="24"/>
        </w:rPr>
        <w:t>– Brasil, de 2007 a 2013</w:t>
      </w:r>
      <w:r w:rsidR="00BB234F" w:rsidRPr="008A3C80">
        <w:rPr>
          <w:rFonts w:ascii="Times New Roman" w:hAnsi="Times New Roman"/>
          <w:color w:val="000000" w:themeColor="text1"/>
          <w:sz w:val="24"/>
          <w:szCs w:val="24"/>
        </w:rPr>
        <w:t>.</w:t>
      </w:r>
      <w:r w:rsidR="003353EF" w:rsidRPr="008A3C80">
        <w:rPr>
          <w:rFonts w:ascii="Times New Roman" w:hAnsi="Times New Roman"/>
          <w:color w:val="000000" w:themeColor="text1"/>
          <w:sz w:val="24"/>
          <w:szCs w:val="24"/>
        </w:rPr>
        <w:t xml:space="preserve"> </w:t>
      </w:r>
    </w:p>
    <w:tbl>
      <w:tblPr>
        <w:tblW w:w="8861" w:type="dxa"/>
        <w:tblInd w:w="-72" w:type="dxa"/>
        <w:tblCellMar>
          <w:left w:w="70" w:type="dxa"/>
          <w:right w:w="70" w:type="dxa"/>
        </w:tblCellMar>
        <w:tblLook w:val="04A0" w:firstRow="1" w:lastRow="0" w:firstColumn="1" w:lastColumn="0" w:noHBand="0" w:noVBand="1"/>
      </w:tblPr>
      <w:tblGrid>
        <w:gridCol w:w="709"/>
        <w:gridCol w:w="1559"/>
        <w:gridCol w:w="708"/>
        <w:gridCol w:w="850"/>
        <w:gridCol w:w="709"/>
        <w:gridCol w:w="709"/>
        <w:gridCol w:w="709"/>
        <w:gridCol w:w="708"/>
        <w:gridCol w:w="691"/>
        <w:gridCol w:w="727"/>
        <w:gridCol w:w="782"/>
      </w:tblGrid>
      <w:tr w:rsidR="00052D8B" w:rsidRPr="008A3C80" w:rsidTr="007D22EF">
        <w:trPr>
          <w:trHeight w:val="300"/>
        </w:trPr>
        <w:tc>
          <w:tcPr>
            <w:tcW w:w="709"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 </w:t>
            </w:r>
          </w:p>
        </w:tc>
        <w:tc>
          <w:tcPr>
            <w:tcW w:w="1559"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 </w:t>
            </w:r>
          </w:p>
        </w:tc>
        <w:tc>
          <w:tcPr>
            <w:tcW w:w="708"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2007</w:t>
            </w:r>
          </w:p>
        </w:tc>
        <w:tc>
          <w:tcPr>
            <w:tcW w:w="850"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2008</w:t>
            </w:r>
          </w:p>
        </w:tc>
        <w:tc>
          <w:tcPr>
            <w:tcW w:w="709"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2009</w:t>
            </w:r>
          </w:p>
        </w:tc>
        <w:tc>
          <w:tcPr>
            <w:tcW w:w="709"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2010</w:t>
            </w:r>
          </w:p>
        </w:tc>
        <w:tc>
          <w:tcPr>
            <w:tcW w:w="709"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2011</w:t>
            </w:r>
          </w:p>
        </w:tc>
        <w:tc>
          <w:tcPr>
            <w:tcW w:w="708"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2012</w:t>
            </w:r>
          </w:p>
        </w:tc>
        <w:tc>
          <w:tcPr>
            <w:tcW w:w="691"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2013</w:t>
            </w:r>
          </w:p>
        </w:tc>
        <w:tc>
          <w:tcPr>
            <w:tcW w:w="727"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Total</w:t>
            </w:r>
          </w:p>
        </w:tc>
        <w:tc>
          <w:tcPr>
            <w:tcW w:w="782" w:type="dxa"/>
            <w:tcBorders>
              <w:top w:val="single" w:sz="4" w:space="0" w:color="auto"/>
              <w:left w:val="nil"/>
              <w:bottom w:val="single" w:sz="4" w:space="0" w:color="auto"/>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b/>
                <w:color w:val="000000"/>
                <w:sz w:val="24"/>
                <w:szCs w:val="20"/>
                <w:lang w:eastAsia="pt-BR"/>
              </w:rPr>
            </w:pPr>
            <w:r w:rsidRPr="008A3C80">
              <w:rPr>
                <w:rFonts w:ascii="Times New Roman" w:hAnsi="Times New Roman" w:cs="Arial"/>
                <w:b/>
                <w:color w:val="000000"/>
                <w:sz w:val="24"/>
                <w:szCs w:val="20"/>
                <w:lang w:eastAsia="pt-BR"/>
              </w:rPr>
              <w:t>%</w:t>
            </w:r>
          </w:p>
        </w:tc>
      </w:tr>
      <w:tr w:rsidR="00052D8B" w:rsidRPr="008A3C80" w:rsidTr="00052D8B">
        <w:trPr>
          <w:trHeight w:val="300"/>
        </w:trPr>
        <w:tc>
          <w:tcPr>
            <w:tcW w:w="709" w:type="dxa"/>
            <w:vMerge w:val="restart"/>
            <w:tcBorders>
              <w:top w:val="nil"/>
              <w:left w:val="nil"/>
              <w:bottom w:val="single" w:sz="4" w:space="0" w:color="000000"/>
              <w:right w:val="nil"/>
            </w:tcBorders>
            <w:shd w:val="clear" w:color="auto" w:fill="auto"/>
            <w:textDirection w:val="btLr"/>
            <w:vAlign w:val="center"/>
            <w:hideMark/>
          </w:tcPr>
          <w:p w:rsidR="00EC09CB" w:rsidRPr="008A3C80" w:rsidRDefault="00EC09CB" w:rsidP="00EC09CB">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Faixa Etária (anos)</w:t>
            </w:r>
          </w:p>
        </w:tc>
        <w:tc>
          <w:tcPr>
            <w:tcW w:w="155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 xml:space="preserve">Menor </w:t>
            </w:r>
            <w:proofErr w:type="gramStart"/>
            <w:r w:rsidRPr="008A3C80">
              <w:rPr>
                <w:rFonts w:ascii="Times New Roman" w:hAnsi="Times New Roman" w:cs="Arial"/>
                <w:color w:val="000000"/>
                <w:sz w:val="24"/>
                <w:szCs w:val="20"/>
                <w:lang w:eastAsia="pt-BR"/>
              </w:rPr>
              <w:t>1</w:t>
            </w:r>
            <w:proofErr w:type="gramEnd"/>
            <w:r w:rsidRPr="008A3C80">
              <w:rPr>
                <w:rFonts w:ascii="Times New Roman" w:hAnsi="Times New Roman" w:cs="Arial"/>
                <w:color w:val="000000"/>
                <w:sz w:val="24"/>
                <w:szCs w:val="20"/>
                <w:lang w:eastAsia="pt-BR"/>
              </w:rPr>
              <w:t xml:space="preserve"> ano</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850"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4</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1</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691"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1</w:t>
            </w:r>
            <w:proofErr w:type="gramEnd"/>
          </w:p>
        </w:tc>
        <w:tc>
          <w:tcPr>
            <w:tcW w:w="727"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6</w:t>
            </w:r>
            <w:proofErr w:type="gramEnd"/>
          </w:p>
        </w:tc>
        <w:tc>
          <w:tcPr>
            <w:tcW w:w="782"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30 a 39 anos</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850"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4</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2</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4</w:t>
            </w:r>
            <w:proofErr w:type="gramEnd"/>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1</w:t>
            </w:r>
            <w:proofErr w:type="gramEnd"/>
          </w:p>
        </w:tc>
        <w:tc>
          <w:tcPr>
            <w:tcW w:w="691"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727"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11</w:t>
            </w:r>
          </w:p>
        </w:tc>
        <w:tc>
          <w:tcPr>
            <w:tcW w:w="782"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40 a 49 anos</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850"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sz w:val="24"/>
                <w:szCs w:val="20"/>
                <w:lang w:eastAsia="pt-BR"/>
              </w:rPr>
            </w:pPr>
            <w:r w:rsidRPr="008A3C80">
              <w:rPr>
                <w:rFonts w:ascii="Times New Roman" w:hAnsi="Times New Roman" w:cs="Arial"/>
                <w:sz w:val="24"/>
                <w:szCs w:val="20"/>
                <w:lang w:eastAsia="pt-BR"/>
              </w:rPr>
              <w:t>67</w:t>
            </w:r>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10</w:t>
            </w:r>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2</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27</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2</w:t>
            </w:r>
            <w:proofErr w:type="gramEnd"/>
          </w:p>
        </w:tc>
        <w:tc>
          <w:tcPr>
            <w:tcW w:w="691"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6</w:t>
            </w:r>
            <w:proofErr w:type="gramEnd"/>
          </w:p>
        </w:tc>
        <w:tc>
          <w:tcPr>
            <w:tcW w:w="727"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114</w:t>
            </w:r>
          </w:p>
        </w:tc>
        <w:tc>
          <w:tcPr>
            <w:tcW w:w="782"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10%</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50 a 59 anos</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4</w:t>
            </w:r>
            <w:proofErr w:type="gramEnd"/>
          </w:p>
        </w:tc>
        <w:tc>
          <w:tcPr>
            <w:tcW w:w="850"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237</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16</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7</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96</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4</w:t>
            </w:r>
            <w:proofErr w:type="gramEnd"/>
          </w:p>
        </w:tc>
        <w:tc>
          <w:tcPr>
            <w:tcW w:w="691"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23</w:t>
            </w:r>
          </w:p>
        </w:tc>
        <w:tc>
          <w:tcPr>
            <w:tcW w:w="727"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387</w:t>
            </w:r>
          </w:p>
        </w:tc>
        <w:tc>
          <w:tcPr>
            <w:tcW w:w="782"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32%</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60 a 69 anos</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5</w:t>
            </w:r>
            <w:proofErr w:type="gramEnd"/>
          </w:p>
        </w:tc>
        <w:tc>
          <w:tcPr>
            <w:tcW w:w="850"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199</w:t>
            </w:r>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10</w:t>
            </w:r>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26</w:t>
            </w:r>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124</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6</w:t>
            </w:r>
            <w:proofErr w:type="gramEnd"/>
          </w:p>
        </w:tc>
        <w:tc>
          <w:tcPr>
            <w:tcW w:w="691"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45</w:t>
            </w:r>
          </w:p>
        </w:tc>
        <w:tc>
          <w:tcPr>
            <w:tcW w:w="727"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415</w:t>
            </w:r>
          </w:p>
        </w:tc>
        <w:tc>
          <w:tcPr>
            <w:tcW w:w="782"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35%</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70 a 79 anos</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850"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93</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8</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11</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FF0000"/>
                <w:sz w:val="24"/>
                <w:szCs w:val="20"/>
                <w:lang w:eastAsia="pt-BR"/>
              </w:rPr>
            </w:pPr>
            <w:r w:rsidRPr="008A3C80">
              <w:rPr>
                <w:rFonts w:ascii="Times New Roman" w:hAnsi="Times New Roman" w:cs="Arial"/>
                <w:color w:val="FF0000"/>
                <w:sz w:val="24"/>
                <w:szCs w:val="20"/>
                <w:lang w:eastAsia="pt-BR"/>
              </w:rPr>
              <w:t>76</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3</w:t>
            </w:r>
            <w:proofErr w:type="gramEnd"/>
          </w:p>
        </w:tc>
        <w:tc>
          <w:tcPr>
            <w:tcW w:w="691"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23</w:t>
            </w:r>
          </w:p>
        </w:tc>
        <w:tc>
          <w:tcPr>
            <w:tcW w:w="727"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214</w:t>
            </w:r>
          </w:p>
        </w:tc>
        <w:tc>
          <w:tcPr>
            <w:tcW w:w="782"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18%</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80 anos e mais</w:t>
            </w:r>
          </w:p>
        </w:tc>
        <w:tc>
          <w:tcPr>
            <w:tcW w:w="708"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0</w:t>
            </w:r>
            <w:proofErr w:type="gramEnd"/>
          </w:p>
        </w:tc>
        <w:tc>
          <w:tcPr>
            <w:tcW w:w="850"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16</w:t>
            </w:r>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1</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2</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19</w:t>
            </w:r>
          </w:p>
        </w:tc>
        <w:tc>
          <w:tcPr>
            <w:tcW w:w="708"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1</w:t>
            </w:r>
            <w:proofErr w:type="gramEnd"/>
          </w:p>
        </w:tc>
        <w:tc>
          <w:tcPr>
            <w:tcW w:w="691"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proofErr w:type="gramStart"/>
            <w:r w:rsidRPr="008A3C80">
              <w:rPr>
                <w:rFonts w:ascii="Times New Roman" w:hAnsi="Times New Roman" w:cs="Arial"/>
                <w:color w:val="000000"/>
                <w:sz w:val="24"/>
                <w:szCs w:val="20"/>
                <w:lang w:eastAsia="pt-BR"/>
              </w:rPr>
              <w:t>6</w:t>
            </w:r>
            <w:proofErr w:type="gramEnd"/>
          </w:p>
        </w:tc>
        <w:tc>
          <w:tcPr>
            <w:tcW w:w="727"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s="Arial"/>
                <w:color w:val="000000"/>
                <w:sz w:val="24"/>
                <w:szCs w:val="20"/>
                <w:lang w:eastAsia="pt-BR"/>
              </w:rPr>
            </w:pPr>
            <w:r w:rsidRPr="008A3C80">
              <w:rPr>
                <w:rFonts w:ascii="Times New Roman" w:hAnsi="Times New Roman" w:cs="Arial"/>
                <w:color w:val="000000"/>
                <w:sz w:val="24"/>
                <w:szCs w:val="20"/>
                <w:lang w:eastAsia="pt-BR"/>
              </w:rPr>
              <w:t>45</w:t>
            </w:r>
          </w:p>
        </w:tc>
        <w:tc>
          <w:tcPr>
            <w:tcW w:w="782"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w:t>
            </w:r>
          </w:p>
        </w:tc>
      </w:tr>
      <w:tr w:rsidR="00052D8B" w:rsidRPr="008A3C80" w:rsidTr="00052D8B">
        <w:trPr>
          <w:trHeight w:val="300"/>
        </w:trPr>
        <w:tc>
          <w:tcPr>
            <w:tcW w:w="709" w:type="dxa"/>
            <w:vMerge w:val="restart"/>
            <w:tcBorders>
              <w:top w:val="nil"/>
              <w:left w:val="nil"/>
              <w:bottom w:val="single" w:sz="4" w:space="0" w:color="000000"/>
              <w:right w:val="nil"/>
            </w:tcBorders>
            <w:shd w:val="clear" w:color="auto" w:fill="auto"/>
            <w:textDirection w:val="btLr"/>
            <w:vAlign w:val="center"/>
            <w:hideMark/>
          </w:tcPr>
          <w:p w:rsidR="00EC09CB" w:rsidRPr="008A3C80" w:rsidRDefault="00EC09CB" w:rsidP="00EC09CB">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Sexo</w:t>
            </w:r>
          </w:p>
        </w:tc>
        <w:tc>
          <w:tcPr>
            <w:tcW w:w="155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Masculino</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9</w:t>
            </w:r>
            <w:proofErr w:type="gramEnd"/>
          </w:p>
        </w:tc>
        <w:tc>
          <w:tcPr>
            <w:tcW w:w="850"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597</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45</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49</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328</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17</w:t>
            </w:r>
          </w:p>
        </w:tc>
        <w:tc>
          <w:tcPr>
            <w:tcW w:w="691"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104</w:t>
            </w:r>
          </w:p>
        </w:tc>
        <w:tc>
          <w:tcPr>
            <w:tcW w:w="727"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1149</w:t>
            </w:r>
          </w:p>
        </w:tc>
        <w:tc>
          <w:tcPr>
            <w:tcW w:w="782" w:type="dxa"/>
            <w:tcBorders>
              <w:top w:val="single" w:sz="4" w:space="0" w:color="auto"/>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96%</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Feminino</w:t>
            </w:r>
          </w:p>
        </w:tc>
        <w:tc>
          <w:tcPr>
            <w:tcW w:w="708"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850"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23</w:t>
            </w:r>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18</w:t>
            </w:r>
          </w:p>
        </w:tc>
        <w:tc>
          <w:tcPr>
            <w:tcW w:w="708"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91"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27"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43</w:t>
            </w:r>
          </w:p>
        </w:tc>
        <w:tc>
          <w:tcPr>
            <w:tcW w:w="782"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w:t>
            </w:r>
          </w:p>
        </w:tc>
      </w:tr>
      <w:tr w:rsidR="00052D8B" w:rsidRPr="008A3C80" w:rsidTr="00052D8B">
        <w:trPr>
          <w:trHeight w:val="300"/>
        </w:trPr>
        <w:tc>
          <w:tcPr>
            <w:tcW w:w="709" w:type="dxa"/>
            <w:vMerge w:val="restart"/>
            <w:tcBorders>
              <w:top w:val="nil"/>
              <w:left w:val="nil"/>
              <w:bottom w:val="single" w:sz="4" w:space="0" w:color="000000"/>
              <w:right w:val="nil"/>
            </w:tcBorders>
            <w:shd w:val="clear" w:color="auto" w:fill="auto"/>
            <w:noWrap/>
            <w:textDirection w:val="btLr"/>
            <w:vAlign w:val="center"/>
            <w:hideMark/>
          </w:tcPr>
          <w:p w:rsidR="00EC09CB" w:rsidRPr="008A3C80" w:rsidRDefault="00EC09CB" w:rsidP="00EC09CB">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Hábito de Fumar</w:t>
            </w:r>
          </w:p>
        </w:tc>
        <w:tc>
          <w:tcPr>
            <w:tcW w:w="155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proofErr w:type="spellStart"/>
            <w:r w:rsidRPr="008A3C80">
              <w:rPr>
                <w:rFonts w:ascii="Times New Roman" w:hAnsi="Times New Roman"/>
                <w:color w:val="FF0000"/>
                <w:sz w:val="24"/>
                <w:lang w:eastAsia="pt-BR"/>
              </w:rPr>
              <w:t>Ign</w:t>
            </w:r>
            <w:proofErr w:type="spellEnd"/>
            <w:r w:rsidRPr="008A3C80">
              <w:rPr>
                <w:rFonts w:ascii="Times New Roman" w:hAnsi="Times New Roman"/>
                <w:color w:val="FF0000"/>
                <w:sz w:val="24"/>
                <w:lang w:eastAsia="pt-BR"/>
              </w:rPr>
              <w:t>/Branco</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850"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616</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30</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31</w:t>
            </w:r>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FF0000"/>
                <w:sz w:val="24"/>
                <w:lang w:eastAsia="pt-BR"/>
              </w:rPr>
            </w:pPr>
            <w:r w:rsidRPr="008A3C80">
              <w:rPr>
                <w:rFonts w:ascii="Times New Roman" w:hAnsi="Times New Roman"/>
                <w:color w:val="FF0000"/>
                <w:sz w:val="24"/>
                <w:lang w:eastAsia="pt-BR"/>
              </w:rPr>
              <w:t>295</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91"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94</w:t>
            </w:r>
          </w:p>
        </w:tc>
        <w:tc>
          <w:tcPr>
            <w:tcW w:w="727"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1069</w:t>
            </w:r>
          </w:p>
        </w:tc>
        <w:tc>
          <w:tcPr>
            <w:tcW w:w="782"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90%</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Sim</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850"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7</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709"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12</w:t>
            </w:r>
          </w:p>
        </w:tc>
        <w:tc>
          <w:tcPr>
            <w:tcW w:w="708"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691"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27"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28</w:t>
            </w:r>
          </w:p>
        </w:tc>
        <w:tc>
          <w:tcPr>
            <w:tcW w:w="782" w:type="dxa"/>
            <w:tcBorders>
              <w:top w:val="nil"/>
              <w:left w:val="nil"/>
              <w:bottom w:val="nil"/>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Não</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7</w:t>
            </w:r>
            <w:proofErr w:type="gramEnd"/>
          </w:p>
        </w:tc>
        <w:tc>
          <w:tcPr>
            <w:tcW w:w="850"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8</w:t>
            </w:r>
            <w:proofErr w:type="gramEnd"/>
          </w:p>
        </w:tc>
        <w:tc>
          <w:tcPr>
            <w:tcW w:w="709"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22</w:t>
            </w:r>
          </w:p>
        </w:tc>
        <w:tc>
          <w:tcPr>
            <w:tcW w:w="708"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9</w:t>
            </w:r>
            <w:proofErr w:type="gramEnd"/>
          </w:p>
        </w:tc>
        <w:tc>
          <w:tcPr>
            <w:tcW w:w="691"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727"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59</w:t>
            </w:r>
          </w:p>
        </w:tc>
        <w:tc>
          <w:tcPr>
            <w:tcW w:w="782" w:type="dxa"/>
            <w:tcBorders>
              <w:top w:val="nil"/>
              <w:left w:val="nil"/>
              <w:bottom w:val="nil"/>
              <w:right w:val="nil"/>
            </w:tcBorders>
            <w:shd w:val="clear" w:color="auto" w:fill="auto"/>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5%</w:t>
            </w:r>
          </w:p>
        </w:tc>
      </w:tr>
      <w:tr w:rsidR="00052D8B" w:rsidRPr="008A3C80" w:rsidTr="00052D8B">
        <w:trPr>
          <w:trHeight w:val="300"/>
        </w:trPr>
        <w:tc>
          <w:tcPr>
            <w:tcW w:w="709" w:type="dxa"/>
            <w:vMerge/>
            <w:tcBorders>
              <w:top w:val="nil"/>
              <w:left w:val="nil"/>
              <w:bottom w:val="single" w:sz="4" w:space="0" w:color="000000"/>
              <w:right w:val="nil"/>
            </w:tcBorders>
            <w:vAlign w:val="center"/>
            <w:hideMark/>
          </w:tcPr>
          <w:p w:rsidR="00EC09CB" w:rsidRPr="008A3C80" w:rsidRDefault="00EC09CB" w:rsidP="00EC09CB">
            <w:pPr>
              <w:spacing w:after="0" w:line="240" w:lineRule="auto"/>
              <w:rPr>
                <w:rFonts w:ascii="Times New Roman" w:hAnsi="Times New Roman"/>
                <w:b/>
                <w:color w:val="000000"/>
                <w:sz w:val="24"/>
                <w:lang w:eastAsia="pt-BR"/>
              </w:rPr>
            </w:pPr>
          </w:p>
        </w:tc>
        <w:tc>
          <w:tcPr>
            <w:tcW w:w="155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spellStart"/>
            <w:r w:rsidRPr="008A3C80">
              <w:rPr>
                <w:rFonts w:ascii="Times New Roman" w:hAnsi="Times New Roman"/>
                <w:color w:val="000000"/>
                <w:sz w:val="24"/>
                <w:lang w:eastAsia="pt-BR"/>
              </w:rPr>
              <w:t>Ex-fumante</w:t>
            </w:r>
            <w:proofErr w:type="spellEnd"/>
          </w:p>
        </w:tc>
        <w:tc>
          <w:tcPr>
            <w:tcW w:w="708"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850"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9</w:t>
            </w:r>
            <w:proofErr w:type="gramEnd"/>
          </w:p>
        </w:tc>
        <w:tc>
          <w:tcPr>
            <w:tcW w:w="709"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17</w:t>
            </w:r>
          </w:p>
        </w:tc>
        <w:tc>
          <w:tcPr>
            <w:tcW w:w="708"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691"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27"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36</w:t>
            </w:r>
          </w:p>
        </w:tc>
        <w:tc>
          <w:tcPr>
            <w:tcW w:w="782" w:type="dxa"/>
            <w:tcBorders>
              <w:top w:val="nil"/>
              <w:left w:val="nil"/>
              <w:bottom w:val="single" w:sz="4" w:space="0" w:color="auto"/>
              <w:right w:val="nil"/>
            </w:tcBorders>
            <w:shd w:val="clear" w:color="000000" w:fill="D9D9D9"/>
            <w:noWrap/>
            <w:vAlign w:val="center"/>
            <w:hideMark/>
          </w:tcPr>
          <w:p w:rsidR="00EC09CB" w:rsidRPr="008A3C80" w:rsidRDefault="00EC09CB" w:rsidP="00EC09CB">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w:t>
            </w:r>
          </w:p>
        </w:tc>
      </w:tr>
    </w:tbl>
    <w:p w:rsidR="00394250" w:rsidRPr="008A3C80" w:rsidRDefault="0079729E" w:rsidP="00394250">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Fonte: SINAN/MS.</w:t>
      </w:r>
      <w:r w:rsidR="00394250" w:rsidRPr="008A3C80">
        <w:rPr>
          <w:rFonts w:ascii="Times New Roman" w:hAnsi="Times New Roman"/>
          <w:color w:val="000000" w:themeColor="text1"/>
          <w:sz w:val="24"/>
          <w:szCs w:val="24"/>
        </w:rPr>
        <w:t xml:space="preserve">  Atualizado em 14/07/2014.</w:t>
      </w:r>
    </w:p>
    <w:p w:rsidR="0079729E" w:rsidRPr="008A3C80" w:rsidRDefault="0079729E" w:rsidP="0079729E">
      <w:pPr>
        <w:autoSpaceDE w:val="0"/>
        <w:autoSpaceDN w:val="0"/>
        <w:adjustRightInd w:val="0"/>
        <w:spacing w:line="480" w:lineRule="auto"/>
        <w:jc w:val="both"/>
        <w:rPr>
          <w:rFonts w:ascii="Times New Roman" w:hAnsi="Times New Roman"/>
          <w:color w:val="000000" w:themeColor="text1"/>
          <w:sz w:val="24"/>
          <w:szCs w:val="24"/>
        </w:rPr>
      </w:pPr>
    </w:p>
    <w:p w:rsidR="00D75BCF" w:rsidRPr="008A3C80" w:rsidRDefault="0020426C" w:rsidP="002F29E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Foram identificadas 127 ocupações diferentes, segundo a Classificação Brasileira de Ocupação</w:t>
      </w:r>
      <w:r w:rsidR="003A3D9F" w:rsidRPr="008A3C80">
        <w:rPr>
          <w:rFonts w:ascii="Times New Roman" w:hAnsi="Times New Roman"/>
          <w:color w:val="000000" w:themeColor="text1"/>
          <w:sz w:val="24"/>
          <w:szCs w:val="24"/>
        </w:rPr>
        <w:t xml:space="preserve"> (CBO)</w:t>
      </w:r>
      <w:r w:rsidRPr="008A3C80">
        <w:rPr>
          <w:rFonts w:ascii="Times New Roman" w:hAnsi="Times New Roman"/>
          <w:color w:val="000000" w:themeColor="text1"/>
          <w:sz w:val="24"/>
          <w:szCs w:val="24"/>
        </w:rPr>
        <w:t>,</w:t>
      </w:r>
      <w:r w:rsidR="00C667DD" w:rsidRPr="008A3C80">
        <w:rPr>
          <w:rFonts w:ascii="Times New Roman" w:hAnsi="Times New Roman"/>
          <w:color w:val="000000" w:themeColor="text1"/>
          <w:sz w:val="24"/>
          <w:szCs w:val="24"/>
        </w:rPr>
        <w:t xml:space="preserve"> </w:t>
      </w:r>
      <w:r w:rsidR="001D4E01" w:rsidRPr="008A3C80">
        <w:rPr>
          <w:rFonts w:ascii="Times New Roman" w:hAnsi="Times New Roman"/>
          <w:color w:val="000000" w:themeColor="text1"/>
          <w:sz w:val="24"/>
          <w:szCs w:val="24"/>
        </w:rPr>
        <w:t xml:space="preserve">de um universo </w:t>
      </w:r>
      <w:r w:rsidR="00CA34FF" w:rsidRPr="008A3C80">
        <w:rPr>
          <w:rFonts w:ascii="Times New Roman" w:hAnsi="Times New Roman"/>
          <w:color w:val="000000" w:themeColor="text1"/>
          <w:sz w:val="24"/>
          <w:szCs w:val="24"/>
        </w:rPr>
        <w:t>de</w:t>
      </w:r>
      <w:r w:rsidR="001D4E01" w:rsidRPr="008A3C80">
        <w:rPr>
          <w:rFonts w:ascii="Times New Roman" w:hAnsi="Times New Roman"/>
          <w:color w:val="000000" w:themeColor="text1"/>
          <w:sz w:val="24"/>
          <w:szCs w:val="24"/>
        </w:rPr>
        <w:t xml:space="preserve"> </w:t>
      </w:r>
      <w:r w:rsidR="00C667DD" w:rsidRPr="008A3C80">
        <w:rPr>
          <w:rFonts w:ascii="Times New Roman" w:hAnsi="Times New Roman"/>
          <w:color w:val="000000" w:themeColor="text1"/>
          <w:sz w:val="24"/>
          <w:szCs w:val="24"/>
        </w:rPr>
        <w:t>1192</w:t>
      </w:r>
      <w:r w:rsidR="001D4E01" w:rsidRPr="008A3C80">
        <w:rPr>
          <w:rFonts w:ascii="Times New Roman" w:hAnsi="Times New Roman"/>
          <w:color w:val="000000" w:themeColor="text1"/>
          <w:sz w:val="24"/>
          <w:szCs w:val="24"/>
        </w:rPr>
        <w:t xml:space="preserve"> </w:t>
      </w:r>
      <w:r w:rsidR="001732D6" w:rsidRPr="008A3C80">
        <w:rPr>
          <w:rFonts w:ascii="Times New Roman" w:hAnsi="Times New Roman"/>
          <w:color w:val="000000" w:themeColor="text1"/>
          <w:sz w:val="24"/>
          <w:szCs w:val="24"/>
        </w:rPr>
        <w:t>trabalhadores com pneumoc</w:t>
      </w:r>
      <w:r w:rsidR="00A14380" w:rsidRPr="008A3C80">
        <w:rPr>
          <w:rFonts w:ascii="Times New Roman" w:hAnsi="Times New Roman"/>
          <w:color w:val="000000" w:themeColor="text1"/>
          <w:sz w:val="24"/>
          <w:szCs w:val="24"/>
        </w:rPr>
        <w:t>o</w:t>
      </w:r>
      <w:r w:rsidR="001732D6" w:rsidRPr="008A3C80">
        <w:rPr>
          <w:rFonts w:ascii="Times New Roman" w:hAnsi="Times New Roman"/>
          <w:color w:val="000000" w:themeColor="text1"/>
          <w:sz w:val="24"/>
          <w:szCs w:val="24"/>
        </w:rPr>
        <w:t>niose por asbesto</w:t>
      </w:r>
      <w:r w:rsidR="00CA34FF" w:rsidRPr="008A3C80">
        <w:rPr>
          <w:rFonts w:ascii="Times New Roman" w:hAnsi="Times New Roman"/>
          <w:color w:val="000000" w:themeColor="text1"/>
          <w:sz w:val="24"/>
          <w:szCs w:val="24"/>
        </w:rPr>
        <w:t xml:space="preserve"> no período </w:t>
      </w:r>
      <w:r w:rsidR="00AC6ACD" w:rsidRPr="008A3C80">
        <w:rPr>
          <w:rFonts w:ascii="Times New Roman" w:hAnsi="Times New Roman"/>
          <w:color w:val="000000" w:themeColor="text1"/>
          <w:sz w:val="24"/>
          <w:szCs w:val="24"/>
        </w:rPr>
        <w:t>estudado</w:t>
      </w:r>
      <w:r w:rsidR="00C667DD" w:rsidRPr="008A3C80">
        <w:rPr>
          <w:rFonts w:ascii="Times New Roman" w:hAnsi="Times New Roman"/>
          <w:color w:val="000000" w:themeColor="text1"/>
          <w:sz w:val="24"/>
          <w:szCs w:val="24"/>
        </w:rPr>
        <w:t xml:space="preserve">, </w:t>
      </w:r>
      <w:r w:rsidR="00E03167" w:rsidRPr="008A3C80">
        <w:rPr>
          <w:rFonts w:ascii="Times New Roman" w:hAnsi="Times New Roman"/>
          <w:color w:val="000000" w:themeColor="text1"/>
          <w:sz w:val="24"/>
          <w:szCs w:val="24"/>
        </w:rPr>
        <w:t xml:space="preserve">com </w:t>
      </w:r>
      <w:proofErr w:type="gramStart"/>
      <w:r w:rsidR="001D4E01" w:rsidRPr="008A3C80">
        <w:rPr>
          <w:rFonts w:ascii="Times New Roman" w:hAnsi="Times New Roman"/>
          <w:color w:val="000000" w:themeColor="text1"/>
          <w:sz w:val="24"/>
          <w:szCs w:val="24"/>
        </w:rPr>
        <w:t>a ocupação</w:t>
      </w:r>
      <w:r w:rsidR="00345720" w:rsidRPr="008A3C80">
        <w:rPr>
          <w:rFonts w:ascii="Times New Roman" w:hAnsi="Times New Roman"/>
          <w:color w:val="000000" w:themeColor="text1"/>
          <w:sz w:val="24"/>
          <w:szCs w:val="24"/>
        </w:rPr>
        <w:t xml:space="preserve"> </w:t>
      </w:r>
      <w:r w:rsidR="00345720" w:rsidRPr="008A3C80">
        <w:rPr>
          <w:rFonts w:ascii="Times New Roman" w:hAnsi="Times New Roman"/>
          <w:i/>
          <w:color w:val="000000" w:themeColor="text1"/>
          <w:sz w:val="24"/>
          <w:szCs w:val="24"/>
        </w:rPr>
        <w:t>trabalhador da elaboração de pré-fabricados (</w:t>
      </w:r>
      <w:r w:rsidR="001D4E01" w:rsidRPr="008A3C80">
        <w:rPr>
          <w:rFonts w:ascii="Times New Roman" w:hAnsi="Times New Roman"/>
          <w:i/>
          <w:color w:val="000000" w:themeColor="text1"/>
          <w:sz w:val="24"/>
          <w:szCs w:val="24"/>
        </w:rPr>
        <w:t>cimento amianto)</w:t>
      </w:r>
      <w:r w:rsidR="001D4E01" w:rsidRPr="008A3C80">
        <w:rPr>
          <w:rFonts w:ascii="Times New Roman" w:hAnsi="Times New Roman"/>
          <w:color w:val="000000" w:themeColor="text1"/>
          <w:sz w:val="24"/>
          <w:szCs w:val="24"/>
        </w:rPr>
        <w:t xml:space="preserve"> </w:t>
      </w:r>
      <w:r w:rsidR="000179BA" w:rsidRPr="008A3C80">
        <w:rPr>
          <w:rFonts w:ascii="Times New Roman" w:hAnsi="Times New Roman"/>
          <w:color w:val="000000" w:themeColor="text1"/>
          <w:sz w:val="24"/>
          <w:szCs w:val="24"/>
        </w:rPr>
        <w:t>representa</w:t>
      </w:r>
      <w:r w:rsidR="00E03167" w:rsidRPr="008A3C80">
        <w:rPr>
          <w:rFonts w:ascii="Times New Roman" w:hAnsi="Times New Roman"/>
          <w:color w:val="000000" w:themeColor="text1"/>
          <w:sz w:val="24"/>
          <w:szCs w:val="24"/>
        </w:rPr>
        <w:t xml:space="preserve">ndo </w:t>
      </w:r>
      <w:r w:rsidR="000179BA" w:rsidRPr="008A3C80">
        <w:rPr>
          <w:rFonts w:ascii="Times New Roman" w:hAnsi="Times New Roman"/>
          <w:color w:val="000000" w:themeColor="text1"/>
          <w:sz w:val="24"/>
          <w:szCs w:val="24"/>
        </w:rPr>
        <w:t>metade dos casos</w:t>
      </w:r>
      <w:r w:rsidR="00E03167" w:rsidRPr="008A3C80">
        <w:rPr>
          <w:rFonts w:ascii="Times New Roman" w:hAnsi="Times New Roman"/>
          <w:color w:val="000000" w:themeColor="text1"/>
          <w:sz w:val="24"/>
          <w:szCs w:val="24"/>
        </w:rPr>
        <w:t xml:space="preserve"> ou</w:t>
      </w:r>
      <w:r w:rsidR="001D4E01" w:rsidRPr="008A3C80">
        <w:rPr>
          <w:rFonts w:ascii="Times New Roman" w:hAnsi="Times New Roman"/>
          <w:color w:val="000000" w:themeColor="text1"/>
          <w:sz w:val="24"/>
          <w:szCs w:val="24"/>
        </w:rPr>
        <w:t xml:space="preserve"> 596</w:t>
      </w:r>
      <w:r w:rsidR="00A469C0" w:rsidRPr="008A3C80">
        <w:rPr>
          <w:rFonts w:ascii="Times New Roman" w:hAnsi="Times New Roman"/>
          <w:color w:val="000000" w:themeColor="text1"/>
          <w:sz w:val="24"/>
          <w:szCs w:val="24"/>
        </w:rPr>
        <w:t xml:space="preserve"> </w:t>
      </w:r>
      <w:r w:rsidR="00AC6ACD" w:rsidRPr="008A3C80">
        <w:rPr>
          <w:rFonts w:ascii="Times New Roman" w:hAnsi="Times New Roman"/>
          <w:color w:val="000000" w:themeColor="text1"/>
          <w:sz w:val="24"/>
          <w:szCs w:val="24"/>
        </w:rPr>
        <w:t>registros</w:t>
      </w:r>
      <w:proofErr w:type="gramEnd"/>
      <w:r w:rsidR="00AC6ACD" w:rsidRPr="008A3C80">
        <w:rPr>
          <w:rFonts w:ascii="Times New Roman" w:hAnsi="Times New Roman"/>
          <w:color w:val="000000" w:themeColor="text1"/>
          <w:sz w:val="24"/>
          <w:szCs w:val="24"/>
        </w:rPr>
        <w:t xml:space="preserve"> </w:t>
      </w:r>
      <w:r w:rsidR="00A469C0" w:rsidRPr="008A3C80">
        <w:rPr>
          <w:rFonts w:ascii="Times New Roman" w:hAnsi="Times New Roman"/>
          <w:color w:val="000000" w:themeColor="text1"/>
          <w:sz w:val="24"/>
          <w:szCs w:val="24"/>
        </w:rPr>
        <w:t>e predomínio d</w:t>
      </w:r>
      <w:r w:rsidR="00CA34FF" w:rsidRPr="008A3C80">
        <w:rPr>
          <w:rFonts w:ascii="Times New Roman" w:hAnsi="Times New Roman"/>
          <w:color w:val="000000" w:themeColor="text1"/>
          <w:sz w:val="24"/>
          <w:szCs w:val="24"/>
        </w:rPr>
        <w:t>as</w:t>
      </w:r>
      <w:r w:rsidR="00A469C0" w:rsidRPr="008A3C80">
        <w:rPr>
          <w:rFonts w:ascii="Times New Roman" w:hAnsi="Times New Roman"/>
          <w:color w:val="000000" w:themeColor="text1"/>
          <w:sz w:val="24"/>
          <w:szCs w:val="24"/>
        </w:rPr>
        <w:t xml:space="preserve"> notificações em 2008 (432 casos) e 2011 (139 casos)</w:t>
      </w:r>
      <w:r w:rsidR="001D4E01" w:rsidRPr="008A3C80">
        <w:rPr>
          <w:rFonts w:ascii="Times New Roman" w:hAnsi="Times New Roman"/>
          <w:color w:val="000000" w:themeColor="text1"/>
          <w:sz w:val="24"/>
          <w:szCs w:val="24"/>
        </w:rPr>
        <w:t>.</w:t>
      </w:r>
      <w:r w:rsidR="00A469C0" w:rsidRPr="008A3C80">
        <w:rPr>
          <w:rFonts w:ascii="Times New Roman" w:hAnsi="Times New Roman"/>
          <w:color w:val="000000" w:themeColor="text1"/>
          <w:sz w:val="24"/>
          <w:szCs w:val="24"/>
        </w:rPr>
        <w:t xml:space="preserve"> </w:t>
      </w:r>
      <w:r w:rsidR="001732D6" w:rsidRPr="008A3C80">
        <w:rPr>
          <w:rFonts w:ascii="Times New Roman" w:hAnsi="Times New Roman"/>
          <w:color w:val="000000" w:themeColor="text1"/>
          <w:sz w:val="24"/>
          <w:szCs w:val="24"/>
        </w:rPr>
        <w:t xml:space="preserve">O </w:t>
      </w:r>
      <w:r w:rsidR="001732D6" w:rsidRPr="008A3C80">
        <w:rPr>
          <w:rFonts w:ascii="Times New Roman" w:hAnsi="Times New Roman"/>
          <w:color w:val="000000" w:themeColor="text1"/>
          <w:sz w:val="24"/>
          <w:szCs w:val="24"/>
        </w:rPr>
        <w:lastRenderedPageBreak/>
        <w:t>p</w:t>
      </w:r>
      <w:r w:rsidR="00A469C0" w:rsidRPr="008A3C80">
        <w:rPr>
          <w:rFonts w:ascii="Times New Roman" w:hAnsi="Times New Roman"/>
          <w:color w:val="000000" w:themeColor="text1"/>
          <w:sz w:val="24"/>
          <w:szCs w:val="24"/>
        </w:rPr>
        <w:t xml:space="preserve">reenchimento </w:t>
      </w:r>
      <w:r w:rsidR="001732D6" w:rsidRPr="008A3C80">
        <w:rPr>
          <w:rFonts w:ascii="Times New Roman" w:hAnsi="Times New Roman"/>
          <w:color w:val="000000" w:themeColor="text1"/>
          <w:sz w:val="24"/>
          <w:szCs w:val="24"/>
        </w:rPr>
        <w:t xml:space="preserve">do campo </w:t>
      </w:r>
      <w:r w:rsidR="00A469C0" w:rsidRPr="008A3C80">
        <w:rPr>
          <w:rFonts w:ascii="Times New Roman" w:hAnsi="Times New Roman"/>
          <w:color w:val="000000" w:themeColor="text1"/>
          <w:sz w:val="24"/>
          <w:szCs w:val="24"/>
        </w:rPr>
        <w:t>ignorado totaliz</w:t>
      </w:r>
      <w:r w:rsidR="001732D6" w:rsidRPr="008A3C80">
        <w:rPr>
          <w:rFonts w:ascii="Times New Roman" w:hAnsi="Times New Roman"/>
          <w:color w:val="000000" w:themeColor="text1"/>
          <w:sz w:val="24"/>
          <w:szCs w:val="24"/>
        </w:rPr>
        <w:t>ou</w:t>
      </w:r>
      <w:r w:rsidR="00A469C0" w:rsidRPr="008A3C80">
        <w:rPr>
          <w:rFonts w:ascii="Times New Roman" w:hAnsi="Times New Roman"/>
          <w:color w:val="000000" w:themeColor="text1"/>
          <w:sz w:val="24"/>
          <w:szCs w:val="24"/>
        </w:rPr>
        <w:t xml:space="preserve"> 26</w:t>
      </w:r>
      <w:r w:rsidR="00CA34FF" w:rsidRPr="008A3C80">
        <w:rPr>
          <w:rFonts w:ascii="Times New Roman" w:hAnsi="Times New Roman"/>
          <w:color w:val="000000" w:themeColor="text1"/>
          <w:sz w:val="24"/>
          <w:szCs w:val="24"/>
        </w:rPr>
        <w:t xml:space="preserve"> e as ocupações com menos de </w:t>
      </w:r>
      <w:r w:rsidR="00E03167" w:rsidRPr="008A3C80">
        <w:rPr>
          <w:rFonts w:ascii="Times New Roman" w:hAnsi="Times New Roman"/>
          <w:color w:val="000000" w:themeColor="text1"/>
          <w:sz w:val="24"/>
          <w:szCs w:val="24"/>
        </w:rPr>
        <w:t>dez</w:t>
      </w:r>
      <w:r w:rsidR="00CA34FF" w:rsidRPr="008A3C80">
        <w:rPr>
          <w:rFonts w:ascii="Times New Roman" w:hAnsi="Times New Roman"/>
          <w:color w:val="000000" w:themeColor="text1"/>
          <w:sz w:val="24"/>
          <w:szCs w:val="24"/>
        </w:rPr>
        <w:t xml:space="preserve"> casos foram agrupados em outros, resultando em 243 casos</w:t>
      </w:r>
      <w:proofErr w:type="gramStart"/>
      <w:r w:rsidR="00AE6DA1" w:rsidRPr="008A3C80">
        <w:rPr>
          <w:rFonts w:ascii="Times New Roman" w:hAnsi="Times New Roman"/>
          <w:color w:val="000000" w:themeColor="text1"/>
          <w:sz w:val="24"/>
          <w:szCs w:val="24"/>
        </w:rPr>
        <w:t xml:space="preserve"> </w:t>
      </w:r>
      <w:r w:rsidR="00D501BF" w:rsidRPr="008A3C80">
        <w:rPr>
          <w:rFonts w:ascii="Times New Roman" w:hAnsi="Times New Roman"/>
          <w:color w:val="000000" w:themeColor="text1"/>
          <w:sz w:val="24"/>
          <w:szCs w:val="24"/>
        </w:rPr>
        <w:t xml:space="preserve"> </w:t>
      </w:r>
      <w:proofErr w:type="gramEnd"/>
      <w:r w:rsidR="00D501BF" w:rsidRPr="008A3C80">
        <w:rPr>
          <w:rFonts w:ascii="Times New Roman" w:hAnsi="Times New Roman"/>
          <w:color w:val="000000" w:themeColor="text1"/>
          <w:sz w:val="24"/>
          <w:szCs w:val="24"/>
        </w:rPr>
        <w:t>(Gráfico 1).</w:t>
      </w:r>
    </w:p>
    <w:p w:rsidR="00F57A3A" w:rsidRPr="008A3C80" w:rsidRDefault="00D501BF" w:rsidP="00BD2BC1">
      <w:pPr>
        <w:autoSpaceDE w:val="0"/>
        <w:autoSpaceDN w:val="0"/>
        <w:adjustRightInd w:val="0"/>
        <w:spacing w:line="480" w:lineRule="auto"/>
        <w:jc w:val="both"/>
        <w:rPr>
          <w:rFonts w:ascii="Times New Roman" w:hAnsi="Times New Roman"/>
          <w:color w:val="000000" w:themeColor="text1"/>
          <w:sz w:val="24"/>
          <w:szCs w:val="24"/>
        </w:rPr>
      </w:pPr>
      <w:r w:rsidRPr="00556088">
        <w:rPr>
          <w:rFonts w:ascii="Times New Roman" w:hAnsi="Times New Roman"/>
          <w:b/>
          <w:color w:val="000000" w:themeColor="text1"/>
          <w:sz w:val="24"/>
          <w:szCs w:val="24"/>
        </w:rPr>
        <w:t xml:space="preserve">Gráfico </w:t>
      </w:r>
      <w:proofErr w:type="gramStart"/>
      <w:r w:rsidRPr="00556088">
        <w:rPr>
          <w:rFonts w:ascii="Times New Roman" w:hAnsi="Times New Roman"/>
          <w:b/>
          <w:color w:val="000000" w:themeColor="text1"/>
          <w:sz w:val="24"/>
          <w:szCs w:val="24"/>
        </w:rPr>
        <w:t>1</w:t>
      </w:r>
      <w:proofErr w:type="gramEnd"/>
      <w:r w:rsidRPr="008A3C80">
        <w:rPr>
          <w:rFonts w:ascii="Times New Roman" w:hAnsi="Times New Roman"/>
          <w:color w:val="000000" w:themeColor="text1"/>
          <w:sz w:val="24"/>
          <w:szCs w:val="24"/>
        </w:rPr>
        <w:t>: Número (N) de casos de asbestose em trabalhadores, segundo a ocupação</w:t>
      </w:r>
      <w:r w:rsidR="00961E15" w:rsidRPr="008A3C80">
        <w:rPr>
          <w:rFonts w:ascii="Times New Roman" w:hAnsi="Times New Roman"/>
          <w:color w:val="000000" w:themeColor="text1"/>
          <w:sz w:val="24"/>
          <w:szCs w:val="24"/>
        </w:rPr>
        <w:t xml:space="preserve"> – Brasil, de 2007 a 2013</w:t>
      </w:r>
      <w:r w:rsidRPr="008A3C80">
        <w:rPr>
          <w:rFonts w:ascii="Times New Roman" w:hAnsi="Times New Roman"/>
          <w:color w:val="000000" w:themeColor="text1"/>
          <w:sz w:val="24"/>
          <w:szCs w:val="24"/>
        </w:rPr>
        <w:t xml:space="preserve"> </w:t>
      </w:r>
    </w:p>
    <w:p w:rsidR="00961E15" w:rsidRPr="008A3C80" w:rsidRDefault="00961E15" w:rsidP="00BD2BC1">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noProof/>
          <w:sz w:val="24"/>
          <w:lang w:eastAsia="pt-BR"/>
        </w:rPr>
        <w:drawing>
          <wp:inline distT="0" distB="0" distL="0" distR="0" wp14:anchorId="28BD4E83" wp14:editId="0179C692">
            <wp:extent cx="5381625" cy="394335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A3C80">
        <w:rPr>
          <w:rFonts w:ascii="Times New Roman" w:hAnsi="Times New Roman"/>
          <w:noProof/>
          <w:sz w:val="24"/>
          <w:lang w:eastAsia="pt-BR"/>
        </w:rPr>
        <w:t xml:space="preserve"> </w:t>
      </w:r>
    </w:p>
    <w:p w:rsidR="00D501BF" w:rsidRPr="008A3C80" w:rsidRDefault="00D501BF" w:rsidP="00BD2BC1">
      <w:pPr>
        <w:autoSpaceDE w:val="0"/>
        <w:autoSpaceDN w:val="0"/>
        <w:adjustRightInd w:val="0"/>
        <w:spacing w:line="480" w:lineRule="auto"/>
        <w:jc w:val="both"/>
        <w:rPr>
          <w:rFonts w:ascii="Times New Roman" w:hAnsi="Times New Roman"/>
          <w:color w:val="000000" w:themeColor="text1"/>
          <w:sz w:val="24"/>
          <w:szCs w:val="24"/>
        </w:rPr>
      </w:pPr>
    </w:p>
    <w:p w:rsidR="00612DE0" w:rsidRPr="008A3C80" w:rsidRDefault="00612DE0"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O </w:t>
      </w:r>
      <w:r w:rsidRPr="008A3C80">
        <w:rPr>
          <w:rFonts w:ascii="Times New Roman" w:hAnsi="Times New Roman"/>
          <w:i/>
          <w:color w:val="000000" w:themeColor="text1"/>
          <w:sz w:val="24"/>
          <w:szCs w:val="24"/>
        </w:rPr>
        <w:t>regime de tratamento</w:t>
      </w:r>
      <w:r w:rsidRPr="008A3C80">
        <w:rPr>
          <w:rFonts w:ascii="Times New Roman" w:hAnsi="Times New Roman"/>
          <w:color w:val="000000" w:themeColor="text1"/>
          <w:sz w:val="24"/>
          <w:szCs w:val="24"/>
        </w:rPr>
        <w:t xml:space="preserve"> predominante dos casos notificados </w:t>
      </w:r>
      <w:r w:rsidR="009D5003" w:rsidRPr="008A3C80">
        <w:rPr>
          <w:rFonts w:ascii="Times New Roman" w:hAnsi="Times New Roman"/>
          <w:color w:val="000000" w:themeColor="text1"/>
          <w:sz w:val="24"/>
          <w:szCs w:val="24"/>
        </w:rPr>
        <w:t xml:space="preserve">foi o ambulatorial, com 74% (879), ignorado </w:t>
      </w:r>
      <w:r w:rsidR="004B51B5" w:rsidRPr="008A3C80">
        <w:rPr>
          <w:rFonts w:ascii="Times New Roman" w:hAnsi="Times New Roman"/>
          <w:color w:val="000000" w:themeColor="text1"/>
          <w:sz w:val="24"/>
          <w:szCs w:val="24"/>
        </w:rPr>
        <w:t>ou em</w:t>
      </w:r>
      <w:r w:rsidR="009D5003" w:rsidRPr="008A3C80">
        <w:rPr>
          <w:rFonts w:ascii="Times New Roman" w:hAnsi="Times New Roman"/>
          <w:color w:val="000000" w:themeColor="text1"/>
          <w:sz w:val="24"/>
          <w:szCs w:val="24"/>
        </w:rPr>
        <w:t xml:space="preserve"> branco fo</w:t>
      </w:r>
      <w:r w:rsidR="004B51B5" w:rsidRPr="008A3C80">
        <w:rPr>
          <w:rFonts w:ascii="Times New Roman" w:hAnsi="Times New Roman"/>
          <w:color w:val="000000" w:themeColor="text1"/>
          <w:sz w:val="24"/>
          <w:szCs w:val="24"/>
        </w:rPr>
        <w:t>i</w:t>
      </w:r>
      <w:r w:rsidR="009D5003" w:rsidRPr="008A3C80">
        <w:rPr>
          <w:rFonts w:ascii="Times New Roman" w:hAnsi="Times New Roman"/>
          <w:color w:val="000000" w:themeColor="text1"/>
          <w:sz w:val="24"/>
          <w:szCs w:val="24"/>
        </w:rPr>
        <w:t xml:space="preserve"> de 26% (307) e apenas 1% (6) recebeu tratamento hospitalar. </w:t>
      </w:r>
      <w:r w:rsidR="00A021DB" w:rsidRPr="008A3C80">
        <w:rPr>
          <w:rFonts w:ascii="Times New Roman" w:hAnsi="Times New Roman"/>
          <w:color w:val="000000" w:themeColor="text1"/>
          <w:sz w:val="24"/>
          <w:szCs w:val="24"/>
        </w:rPr>
        <w:t>A</w:t>
      </w:r>
      <w:r w:rsidR="008E068A" w:rsidRPr="008A3C80">
        <w:rPr>
          <w:rFonts w:ascii="Times New Roman" w:hAnsi="Times New Roman"/>
          <w:color w:val="000000" w:themeColor="text1"/>
          <w:sz w:val="24"/>
          <w:szCs w:val="24"/>
        </w:rPr>
        <w:t>s</w:t>
      </w:r>
      <w:r w:rsidR="00A021DB" w:rsidRPr="008A3C80">
        <w:rPr>
          <w:rFonts w:ascii="Times New Roman" w:hAnsi="Times New Roman"/>
          <w:color w:val="000000" w:themeColor="text1"/>
          <w:sz w:val="24"/>
          <w:szCs w:val="24"/>
        </w:rPr>
        <w:t xml:space="preserve"> </w:t>
      </w:r>
      <w:r w:rsidR="00A021DB" w:rsidRPr="008A3C80">
        <w:rPr>
          <w:rFonts w:ascii="Times New Roman" w:hAnsi="Times New Roman"/>
          <w:i/>
          <w:color w:val="000000" w:themeColor="text1"/>
          <w:sz w:val="24"/>
          <w:szCs w:val="24"/>
        </w:rPr>
        <w:t>confirmaç</w:t>
      </w:r>
      <w:r w:rsidR="008E068A" w:rsidRPr="008A3C80">
        <w:rPr>
          <w:rFonts w:ascii="Times New Roman" w:hAnsi="Times New Roman"/>
          <w:i/>
          <w:color w:val="000000" w:themeColor="text1"/>
          <w:sz w:val="24"/>
          <w:szCs w:val="24"/>
        </w:rPr>
        <w:t>ões</w:t>
      </w:r>
      <w:r w:rsidR="00A021DB" w:rsidRPr="008A3C80">
        <w:rPr>
          <w:rFonts w:ascii="Times New Roman" w:hAnsi="Times New Roman"/>
          <w:i/>
          <w:color w:val="000000" w:themeColor="text1"/>
          <w:sz w:val="24"/>
          <w:szCs w:val="24"/>
        </w:rPr>
        <w:t xml:space="preserve"> diagnóstica</w:t>
      </w:r>
      <w:r w:rsidR="008E068A" w:rsidRPr="008A3C80">
        <w:rPr>
          <w:rFonts w:ascii="Times New Roman" w:hAnsi="Times New Roman"/>
          <w:i/>
          <w:color w:val="000000" w:themeColor="text1"/>
          <w:sz w:val="24"/>
          <w:szCs w:val="24"/>
        </w:rPr>
        <w:t>s</w:t>
      </w:r>
      <w:r w:rsidR="008E068A" w:rsidRPr="008A3C80">
        <w:rPr>
          <w:rFonts w:ascii="Times New Roman" w:hAnsi="Times New Roman"/>
          <w:color w:val="000000" w:themeColor="text1"/>
          <w:sz w:val="24"/>
          <w:szCs w:val="24"/>
        </w:rPr>
        <w:t>,</w:t>
      </w:r>
      <w:r w:rsidR="00A021DB" w:rsidRPr="008A3C80">
        <w:rPr>
          <w:rFonts w:ascii="Times New Roman" w:hAnsi="Times New Roman"/>
          <w:color w:val="000000" w:themeColor="text1"/>
          <w:sz w:val="24"/>
          <w:szCs w:val="24"/>
        </w:rPr>
        <w:t xml:space="preserve"> </w:t>
      </w:r>
      <w:r w:rsidR="008E068A" w:rsidRPr="008A3C80">
        <w:rPr>
          <w:rFonts w:ascii="Times New Roman" w:hAnsi="Times New Roman"/>
          <w:color w:val="000000" w:themeColor="text1"/>
          <w:sz w:val="24"/>
          <w:szCs w:val="24"/>
        </w:rPr>
        <w:t xml:space="preserve">no período estudado, </w:t>
      </w:r>
      <w:r w:rsidR="005A0D17" w:rsidRPr="008A3C80">
        <w:rPr>
          <w:rFonts w:ascii="Times New Roman" w:hAnsi="Times New Roman"/>
          <w:color w:val="000000" w:themeColor="text1"/>
          <w:sz w:val="24"/>
          <w:szCs w:val="24"/>
        </w:rPr>
        <w:t>se deram por</w:t>
      </w:r>
      <w:r w:rsidR="00A021DB" w:rsidRPr="008A3C80">
        <w:rPr>
          <w:rFonts w:ascii="Times New Roman" w:hAnsi="Times New Roman"/>
          <w:color w:val="000000" w:themeColor="text1"/>
          <w:sz w:val="24"/>
          <w:szCs w:val="24"/>
        </w:rPr>
        <w:t xml:space="preserve"> radiografia de tórax</w:t>
      </w:r>
      <w:r w:rsidR="005A0D17" w:rsidRPr="008A3C80">
        <w:rPr>
          <w:rFonts w:ascii="Times New Roman" w:hAnsi="Times New Roman"/>
          <w:color w:val="000000" w:themeColor="text1"/>
          <w:sz w:val="24"/>
          <w:szCs w:val="24"/>
        </w:rPr>
        <w:t>,</w:t>
      </w:r>
      <w:r w:rsidR="00A021DB" w:rsidRPr="008A3C80">
        <w:rPr>
          <w:rFonts w:ascii="Times New Roman" w:hAnsi="Times New Roman"/>
          <w:color w:val="000000" w:themeColor="text1"/>
          <w:sz w:val="24"/>
          <w:szCs w:val="24"/>
        </w:rPr>
        <w:t xml:space="preserve"> </w:t>
      </w:r>
      <w:r w:rsidR="005A0D17" w:rsidRPr="008A3C80">
        <w:rPr>
          <w:rFonts w:ascii="Times New Roman" w:hAnsi="Times New Roman"/>
          <w:color w:val="000000" w:themeColor="text1"/>
          <w:sz w:val="24"/>
          <w:szCs w:val="24"/>
        </w:rPr>
        <w:t>tomografia de tórax</w:t>
      </w:r>
      <w:r w:rsidR="00501E3F" w:rsidRPr="008A3C80">
        <w:rPr>
          <w:rFonts w:ascii="Times New Roman" w:hAnsi="Times New Roman"/>
          <w:color w:val="000000" w:themeColor="text1"/>
          <w:sz w:val="24"/>
          <w:szCs w:val="24"/>
        </w:rPr>
        <w:t xml:space="preserve"> e</w:t>
      </w:r>
      <w:r w:rsidR="005A0D17" w:rsidRPr="008A3C80">
        <w:rPr>
          <w:rFonts w:ascii="Times New Roman" w:hAnsi="Times New Roman"/>
          <w:color w:val="000000" w:themeColor="text1"/>
          <w:sz w:val="24"/>
          <w:szCs w:val="24"/>
        </w:rPr>
        <w:t xml:space="preserve"> biópsia pulmonar, com 1</w:t>
      </w:r>
      <w:r w:rsidR="00A021DB" w:rsidRPr="008A3C80">
        <w:rPr>
          <w:rFonts w:ascii="Times New Roman" w:hAnsi="Times New Roman"/>
          <w:color w:val="000000" w:themeColor="text1"/>
          <w:sz w:val="24"/>
          <w:szCs w:val="24"/>
        </w:rPr>
        <w:t>140</w:t>
      </w:r>
      <w:r w:rsidR="005A0D17" w:rsidRPr="008A3C80">
        <w:rPr>
          <w:rFonts w:ascii="Times New Roman" w:hAnsi="Times New Roman"/>
          <w:color w:val="000000" w:themeColor="text1"/>
          <w:sz w:val="24"/>
          <w:szCs w:val="24"/>
        </w:rPr>
        <w:t xml:space="preserve">, </w:t>
      </w:r>
      <w:r w:rsidR="008E068A" w:rsidRPr="008A3C80">
        <w:rPr>
          <w:rFonts w:ascii="Times New Roman" w:hAnsi="Times New Roman"/>
          <w:color w:val="000000" w:themeColor="text1"/>
          <w:sz w:val="24"/>
          <w:szCs w:val="24"/>
        </w:rPr>
        <w:t>855 e 96</w:t>
      </w:r>
      <w:r w:rsidR="005A0D17" w:rsidRPr="008A3C80">
        <w:rPr>
          <w:rFonts w:ascii="Times New Roman" w:hAnsi="Times New Roman"/>
          <w:color w:val="000000" w:themeColor="text1"/>
          <w:sz w:val="24"/>
          <w:szCs w:val="24"/>
        </w:rPr>
        <w:t xml:space="preserve"> casos cada, respectivamente</w:t>
      </w:r>
      <w:r w:rsidR="008E068A" w:rsidRPr="008A3C80">
        <w:rPr>
          <w:rFonts w:ascii="Times New Roman" w:hAnsi="Times New Roman"/>
          <w:color w:val="000000" w:themeColor="text1"/>
          <w:sz w:val="24"/>
          <w:szCs w:val="24"/>
        </w:rPr>
        <w:t xml:space="preserve">. </w:t>
      </w:r>
      <w:r w:rsidR="00D707D5" w:rsidRPr="008A3C80">
        <w:rPr>
          <w:rFonts w:ascii="Times New Roman" w:hAnsi="Times New Roman"/>
          <w:color w:val="000000" w:themeColor="text1"/>
          <w:sz w:val="24"/>
          <w:szCs w:val="24"/>
        </w:rPr>
        <w:t xml:space="preserve">A </w:t>
      </w:r>
      <w:r w:rsidR="00D707D5" w:rsidRPr="008A3C80">
        <w:rPr>
          <w:rFonts w:ascii="Times New Roman" w:hAnsi="Times New Roman"/>
          <w:i/>
          <w:color w:val="000000" w:themeColor="text1"/>
          <w:sz w:val="24"/>
          <w:szCs w:val="24"/>
        </w:rPr>
        <w:t>avaliação funcional</w:t>
      </w:r>
      <w:r w:rsidR="00D707D5" w:rsidRPr="008A3C80">
        <w:rPr>
          <w:rFonts w:ascii="Times New Roman" w:hAnsi="Times New Roman"/>
          <w:color w:val="000000" w:themeColor="text1"/>
          <w:sz w:val="24"/>
          <w:szCs w:val="24"/>
        </w:rPr>
        <w:t xml:space="preserve">, através da prova de função pulmonar, foi realizada em 869 (73%) casos. </w:t>
      </w:r>
      <w:r w:rsidR="00501E3F" w:rsidRPr="008A3C80">
        <w:rPr>
          <w:rFonts w:ascii="Times New Roman" w:hAnsi="Times New Roman"/>
          <w:color w:val="000000" w:themeColor="text1"/>
          <w:sz w:val="24"/>
          <w:szCs w:val="24"/>
        </w:rPr>
        <w:t xml:space="preserve">O </w:t>
      </w:r>
      <w:r w:rsidR="00501E3F" w:rsidRPr="008A3C80">
        <w:rPr>
          <w:rFonts w:ascii="Times New Roman" w:hAnsi="Times New Roman"/>
          <w:i/>
          <w:color w:val="000000" w:themeColor="text1"/>
          <w:sz w:val="24"/>
          <w:szCs w:val="24"/>
        </w:rPr>
        <w:t>diagnóstico específico</w:t>
      </w:r>
      <w:r w:rsidR="00501E3F" w:rsidRPr="008A3C80">
        <w:rPr>
          <w:rFonts w:ascii="Times New Roman" w:hAnsi="Times New Roman"/>
          <w:color w:val="000000" w:themeColor="text1"/>
          <w:sz w:val="24"/>
          <w:szCs w:val="24"/>
        </w:rPr>
        <w:t xml:space="preserve"> par</w:t>
      </w:r>
      <w:r w:rsidR="00D707D5" w:rsidRPr="008A3C80">
        <w:rPr>
          <w:rFonts w:ascii="Times New Roman" w:hAnsi="Times New Roman"/>
          <w:color w:val="000000" w:themeColor="text1"/>
          <w:sz w:val="24"/>
          <w:szCs w:val="24"/>
        </w:rPr>
        <w:t xml:space="preserve">a asbestose, segundo o CID </w:t>
      </w:r>
      <w:r w:rsidR="00D707D5" w:rsidRPr="008A3C80">
        <w:rPr>
          <w:rFonts w:ascii="Times New Roman" w:hAnsi="Times New Roman"/>
          <w:color w:val="000000" w:themeColor="text1"/>
          <w:sz w:val="24"/>
          <w:szCs w:val="24"/>
        </w:rPr>
        <w:lastRenderedPageBreak/>
        <w:t xml:space="preserve">10, </w:t>
      </w:r>
      <w:r w:rsidR="00501E3F" w:rsidRPr="008A3C80">
        <w:rPr>
          <w:rFonts w:ascii="Times New Roman" w:hAnsi="Times New Roman"/>
          <w:color w:val="000000" w:themeColor="text1"/>
          <w:sz w:val="24"/>
          <w:szCs w:val="24"/>
        </w:rPr>
        <w:t>predominante foi o J92 – placas pleurais, representando 80% dos registros, dentre as 1192 notificações</w:t>
      </w:r>
      <w:r w:rsidR="008A6530" w:rsidRPr="008A3C80">
        <w:rPr>
          <w:rFonts w:ascii="Times New Roman" w:hAnsi="Times New Roman"/>
          <w:color w:val="000000" w:themeColor="text1"/>
          <w:sz w:val="24"/>
          <w:szCs w:val="24"/>
        </w:rPr>
        <w:t xml:space="preserve"> (</w:t>
      </w:r>
      <w:r w:rsidR="005A0D17" w:rsidRPr="008A3C80">
        <w:rPr>
          <w:rFonts w:ascii="Times New Roman" w:hAnsi="Times New Roman"/>
          <w:color w:val="000000" w:themeColor="text1"/>
          <w:sz w:val="24"/>
          <w:szCs w:val="24"/>
        </w:rPr>
        <w:t>Tabela 5</w:t>
      </w:r>
      <w:r w:rsidR="008A6530" w:rsidRPr="008A3C80">
        <w:rPr>
          <w:rFonts w:ascii="Times New Roman" w:hAnsi="Times New Roman"/>
          <w:color w:val="000000" w:themeColor="text1"/>
          <w:sz w:val="24"/>
          <w:szCs w:val="24"/>
        </w:rPr>
        <w:t>).</w:t>
      </w:r>
    </w:p>
    <w:p w:rsidR="00DB7853" w:rsidRPr="008A3C80" w:rsidRDefault="00DB7853" w:rsidP="00BD2BC1">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Tabela </w:t>
      </w:r>
      <w:r w:rsidR="0021779C" w:rsidRPr="008A3C80">
        <w:rPr>
          <w:rFonts w:ascii="Times New Roman" w:hAnsi="Times New Roman"/>
          <w:color w:val="000000" w:themeColor="text1"/>
          <w:sz w:val="24"/>
          <w:szCs w:val="24"/>
        </w:rPr>
        <w:t>5</w:t>
      </w:r>
      <w:r w:rsidR="00807E2D" w:rsidRPr="008A3C80">
        <w:rPr>
          <w:rFonts w:ascii="Times New Roman" w:hAnsi="Times New Roman"/>
          <w:color w:val="000000" w:themeColor="text1"/>
          <w:sz w:val="24"/>
          <w:szCs w:val="24"/>
        </w:rPr>
        <w:t>:</w:t>
      </w:r>
      <w:r w:rsidR="00EB18C8" w:rsidRPr="008A3C80">
        <w:rPr>
          <w:rFonts w:ascii="Times New Roman" w:hAnsi="Times New Roman"/>
          <w:color w:val="000000" w:themeColor="text1"/>
          <w:sz w:val="24"/>
          <w:szCs w:val="24"/>
        </w:rPr>
        <w:t xml:space="preserve"> Número (N) e proporção total (%), dos casos de asbestose em trabalhadores, segundo o regime de tratamento, confirmação diagnóstica, diagnóstico específico e o ano de notificação – Brasil, de 2007 a 2013</w:t>
      </w:r>
      <w:r w:rsidR="00394250" w:rsidRPr="008A3C80">
        <w:rPr>
          <w:rFonts w:ascii="Times New Roman" w:hAnsi="Times New Roman"/>
          <w:color w:val="000000" w:themeColor="text1"/>
          <w:sz w:val="24"/>
          <w:szCs w:val="24"/>
        </w:rPr>
        <w:t>.</w:t>
      </w:r>
    </w:p>
    <w:tbl>
      <w:tblPr>
        <w:tblW w:w="10507" w:type="dxa"/>
        <w:tblInd w:w="-923" w:type="dxa"/>
        <w:tblCellMar>
          <w:left w:w="70" w:type="dxa"/>
          <w:right w:w="70" w:type="dxa"/>
        </w:tblCellMar>
        <w:tblLook w:val="04A0" w:firstRow="1" w:lastRow="0" w:firstColumn="1" w:lastColumn="0" w:noHBand="0" w:noVBand="1"/>
      </w:tblPr>
      <w:tblGrid>
        <w:gridCol w:w="430"/>
        <w:gridCol w:w="712"/>
        <w:gridCol w:w="3154"/>
        <w:gridCol w:w="709"/>
        <w:gridCol w:w="689"/>
        <w:gridCol w:w="669"/>
        <w:gridCol w:w="649"/>
        <w:gridCol w:w="629"/>
        <w:gridCol w:w="751"/>
        <w:gridCol w:w="731"/>
        <w:gridCol w:w="709"/>
        <w:gridCol w:w="683"/>
      </w:tblGrid>
      <w:tr w:rsidR="00D03E50" w:rsidRPr="008A3C80" w:rsidTr="00DB7853">
        <w:trPr>
          <w:trHeight w:val="300"/>
        </w:trPr>
        <w:tc>
          <w:tcPr>
            <w:tcW w:w="422" w:type="dxa"/>
            <w:tcBorders>
              <w:top w:val="nil"/>
              <w:left w:val="nil"/>
              <w:bottom w:val="nil"/>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color w:val="000000"/>
                <w:sz w:val="24"/>
                <w:lang w:eastAsia="pt-BR"/>
              </w:rPr>
            </w:pPr>
          </w:p>
        </w:tc>
        <w:tc>
          <w:tcPr>
            <w:tcW w:w="712" w:type="dxa"/>
            <w:tcBorders>
              <w:top w:val="nil"/>
              <w:left w:val="nil"/>
              <w:bottom w:val="nil"/>
              <w:right w:val="nil"/>
            </w:tcBorders>
            <w:shd w:val="clear" w:color="auto" w:fill="auto"/>
            <w:noWrap/>
            <w:vAlign w:val="center"/>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AD0F58">
            <w:pPr>
              <w:spacing w:after="0" w:line="240" w:lineRule="auto"/>
              <w:rPr>
                <w:rFonts w:ascii="Times New Roman" w:hAnsi="Times New Roman"/>
                <w:b/>
                <w:color w:val="000000"/>
                <w:sz w:val="24"/>
                <w:lang w:eastAsia="pt-BR"/>
              </w:rPr>
            </w:pPr>
          </w:p>
        </w:tc>
        <w:tc>
          <w:tcPr>
            <w:tcW w:w="709"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2007</w:t>
            </w:r>
          </w:p>
        </w:tc>
        <w:tc>
          <w:tcPr>
            <w:tcW w:w="689"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2008</w:t>
            </w:r>
          </w:p>
        </w:tc>
        <w:tc>
          <w:tcPr>
            <w:tcW w:w="669"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2009</w:t>
            </w:r>
          </w:p>
        </w:tc>
        <w:tc>
          <w:tcPr>
            <w:tcW w:w="649"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2010</w:t>
            </w:r>
          </w:p>
        </w:tc>
        <w:tc>
          <w:tcPr>
            <w:tcW w:w="629"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2011</w:t>
            </w:r>
          </w:p>
        </w:tc>
        <w:tc>
          <w:tcPr>
            <w:tcW w:w="751"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2012</w:t>
            </w:r>
          </w:p>
        </w:tc>
        <w:tc>
          <w:tcPr>
            <w:tcW w:w="731"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2013</w:t>
            </w:r>
          </w:p>
        </w:tc>
        <w:tc>
          <w:tcPr>
            <w:tcW w:w="709"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Total</w:t>
            </w:r>
          </w:p>
        </w:tc>
        <w:tc>
          <w:tcPr>
            <w:tcW w:w="683" w:type="dxa"/>
            <w:tcBorders>
              <w:top w:val="single" w:sz="4" w:space="0" w:color="auto"/>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w:t>
            </w:r>
          </w:p>
        </w:tc>
      </w:tr>
      <w:tr w:rsidR="00D03E50" w:rsidRPr="008A3C80" w:rsidTr="00706D68">
        <w:trPr>
          <w:trHeight w:val="300"/>
        </w:trPr>
        <w:tc>
          <w:tcPr>
            <w:tcW w:w="422" w:type="dxa"/>
            <w:tcBorders>
              <w:top w:val="single" w:sz="4" w:space="0" w:color="auto"/>
              <w:left w:val="nil"/>
              <w:bottom w:val="nil"/>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 </w:t>
            </w:r>
          </w:p>
        </w:tc>
        <w:tc>
          <w:tcPr>
            <w:tcW w:w="712" w:type="dxa"/>
            <w:vMerge w:val="restart"/>
            <w:tcBorders>
              <w:top w:val="single" w:sz="4" w:space="0" w:color="auto"/>
              <w:left w:val="nil"/>
              <w:bottom w:val="single" w:sz="4" w:space="0" w:color="000000"/>
              <w:right w:val="nil"/>
            </w:tcBorders>
            <w:shd w:val="clear" w:color="auto" w:fill="auto"/>
            <w:noWrap/>
            <w:textDirection w:val="btLr"/>
            <w:vAlign w:val="center"/>
            <w:hideMark/>
          </w:tcPr>
          <w:p w:rsidR="00D03E50" w:rsidRPr="008A3C80" w:rsidRDefault="00D03E50"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Regime de Tratamento</w:t>
            </w:r>
          </w:p>
        </w:tc>
        <w:tc>
          <w:tcPr>
            <w:tcW w:w="3154" w:type="dxa"/>
            <w:tcBorders>
              <w:top w:val="single" w:sz="4" w:space="0" w:color="auto"/>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spellStart"/>
            <w:r w:rsidRPr="008A3C80">
              <w:rPr>
                <w:rFonts w:ascii="Times New Roman" w:hAnsi="Times New Roman"/>
                <w:color w:val="000000"/>
                <w:sz w:val="24"/>
                <w:lang w:eastAsia="pt-BR"/>
              </w:rPr>
              <w:t>Ign</w:t>
            </w:r>
            <w:proofErr w:type="spellEnd"/>
            <w:r w:rsidRPr="008A3C80">
              <w:rPr>
                <w:rFonts w:ascii="Times New Roman" w:hAnsi="Times New Roman"/>
                <w:color w:val="000000"/>
                <w:sz w:val="24"/>
                <w:lang w:eastAsia="pt-BR"/>
              </w:rPr>
              <w:t>/Branco</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7</w:t>
            </w:r>
            <w:proofErr w:type="gramEnd"/>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30</w:t>
            </w:r>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FF0000"/>
                <w:sz w:val="24"/>
                <w:lang w:eastAsia="pt-BR"/>
              </w:rPr>
            </w:pPr>
            <w:r w:rsidRPr="008A3C80">
              <w:rPr>
                <w:rFonts w:ascii="Times New Roman" w:hAnsi="Times New Roman"/>
                <w:sz w:val="24"/>
                <w:lang w:eastAsia="pt-BR"/>
              </w:rPr>
              <w:t>268</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307</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26%</w:t>
            </w:r>
          </w:p>
        </w:tc>
      </w:tr>
      <w:tr w:rsidR="00D03E50" w:rsidRPr="008A3C80" w:rsidTr="00706D68">
        <w:trPr>
          <w:trHeight w:val="300"/>
        </w:trPr>
        <w:tc>
          <w:tcPr>
            <w:tcW w:w="422" w:type="dxa"/>
            <w:tcBorders>
              <w:top w:val="nil"/>
              <w:left w:val="nil"/>
              <w:bottom w:val="nil"/>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single" w:sz="4" w:space="0" w:color="auto"/>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Hospitalar</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w:t>
            </w:r>
          </w:p>
        </w:tc>
      </w:tr>
      <w:tr w:rsidR="00D03E50" w:rsidRPr="008A3C80" w:rsidTr="002F29E0">
        <w:trPr>
          <w:trHeight w:val="719"/>
        </w:trPr>
        <w:tc>
          <w:tcPr>
            <w:tcW w:w="422" w:type="dxa"/>
            <w:tcBorders>
              <w:top w:val="nil"/>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 </w:t>
            </w:r>
          </w:p>
        </w:tc>
        <w:tc>
          <w:tcPr>
            <w:tcW w:w="712" w:type="dxa"/>
            <w:vMerge/>
            <w:tcBorders>
              <w:top w:val="single" w:sz="4" w:space="0" w:color="auto"/>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single" w:sz="4" w:space="0" w:color="auto"/>
              <w:right w:val="nil"/>
            </w:tcBorders>
            <w:shd w:val="clear" w:color="auto" w:fill="auto"/>
            <w:noWrap/>
            <w:vAlign w:val="center"/>
            <w:hideMark/>
          </w:tcPr>
          <w:p w:rsidR="00D03E50" w:rsidRPr="008A3C80" w:rsidRDefault="002C4349"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Ambulatorial</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proofErr w:type="gramStart"/>
            <w:r w:rsidRPr="008A3C80">
              <w:rPr>
                <w:rFonts w:ascii="Times New Roman" w:hAnsi="Times New Roman"/>
                <w:sz w:val="24"/>
                <w:lang w:eastAsia="pt-BR"/>
              </w:rPr>
              <w:t>9</w:t>
            </w:r>
            <w:proofErr w:type="gramEnd"/>
          </w:p>
        </w:tc>
        <w:tc>
          <w:tcPr>
            <w:tcW w:w="68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613</w:t>
            </w:r>
          </w:p>
        </w:tc>
        <w:tc>
          <w:tcPr>
            <w:tcW w:w="66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45</w:t>
            </w:r>
          </w:p>
        </w:tc>
        <w:tc>
          <w:tcPr>
            <w:tcW w:w="64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19</w:t>
            </w:r>
          </w:p>
        </w:tc>
        <w:tc>
          <w:tcPr>
            <w:tcW w:w="62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78</w:t>
            </w:r>
          </w:p>
        </w:tc>
        <w:tc>
          <w:tcPr>
            <w:tcW w:w="75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14</w:t>
            </w:r>
          </w:p>
        </w:tc>
        <w:tc>
          <w:tcPr>
            <w:tcW w:w="73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101</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879</w:t>
            </w:r>
          </w:p>
        </w:tc>
        <w:tc>
          <w:tcPr>
            <w:tcW w:w="683"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74%</w:t>
            </w:r>
          </w:p>
        </w:tc>
      </w:tr>
      <w:tr w:rsidR="00D03E50" w:rsidRPr="008A3C80" w:rsidTr="00706D68">
        <w:trPr>
          <w:trHeight w:val="300"/>
        </w:trPr>
        <w:tc>
          <w:tcPr>
            <w:tcW w:w="422" w:type="dxa"/>
            <w:vMerge w:val="restart"/>
            <w:tcBorders>
              <w:top w:val="nil"/>
              <w:left w:val="nil"/>
              <w:bottom w:val="single" w:sz="4" w:space="0" w:color="000000"/>
              <w:right w:val="nil"/>
            </w:tcBorders>
            <w:shd w:val="clear" w:color="auto" w:fill="auto"/>
            <w:noWrap/>
            <w:textDirection w:val="btLr"/>
            <w:vAlign w:val="center"/>
            <w:hideMark/>
          </w:tcPr>
          <w:p w:rsidR="00D03E50" w:rsidRPr="008A3C80" w:rsidRDefault="00D03E50"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Confirmação Diagnóstica</w:t>
            </w:r>
          </w:p>
        </w:tc>
        <w:tc>
          <w:tcPr>
            <w:tcW w:w="712" w:type="dxa"/>
            <w:vMerge w:val="restart"/>
            <w:tcBorders>
              <w:top w:val="nil"/>
              <w:left w:val="nil"/>
              <w:bottom w:val="single" w:sz="4" w:space="0" w:color="000000"/>
              <w:right w:val="nil"/>
            </w:tcBorders>
            <w:shd w:val="clear" w:color="auto" w:fill="auto"/>
            <w:noWrap/>
            <w:textDirection w:val="btLr"/>
            <w:vAlign w:val="center"/>
            <w:hideMark/>
          </w:tcPr>
          <w:p w:rsidR="00D03E50" w:rsidRPr="008A3C80" w:rsidRDefault="00D03E50"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Radiografia tórax</w:t>
            </w: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spellStart"/>
            <w:r w:rsidRPr="008A3C80">
              <w:rPr>
                <w:rFonts w:ascii="Times New Roman" w:hAnsi="Times New Roman"/>
                <w:color w:val="000000"/>
                <w:sz w:val="24"/>
                <w:lang w:eastAsia="pt-BR"/>
              </w:rPr>
              <w:t>Ign</w:t>
            </w:r>
            <w:proofErr w:type="spellEnd"/>
            <w:r w:rsidRPr="008A3C80">
              <w:rPr>
                <w:rFonts w:ascii="Times New Roman" w:hAnsi="Times New Roman"/>
                <w:color w:val="000000"/>
                <w:sz w:val="24"/>
                <w:lang w:eastAsia="pt-BR"/>
              </w:rPr>
              <w:t>/Branco</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15</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31</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w:t>
            </w:r>
          </w:p>
        </w:tc>
      </w:tr>
      <w:tr w:rsidR="00D03E50" w:rsidRPr="008A3C80" w:rsidTr="00706D68">
        <w:trPr>
          <w:trHeight w:val="300"/>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highlight w:val="yellow"/>
                <w:lang w:eastAsia="pt-BR"/>
              </w:rPr>
            </w:pPr>
            <w:r w:rsidRPr="008A3C80">
              <w:rPr>
                <w:rFonts w:ascii="Times New Roman" w:hAnsi="Times New Roman"/>
                <w:sz w:val="24"/>
                <w:lang w:eastAsia="pt-BR"/>
              </w:rPr>
              <w:t>Sim</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591</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45</w:t>
            </w:r>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46</w:t>
            </w:r>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343</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12</w:t>
            </w:r>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96</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1140</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96%</w:t>
            </w:r>
          </w:p>
        </w:tc>
      </w:tr>
      <w:tr w:rsidR="00D03E50" w:rsidRPr="008A3C80" w:rsidTr="00706D68">
        <w:trPr>
          <w:trHeight w:val="557"/>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Não</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8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14</w:t>
            </w:r>
          </w:p>
        </w:tc>
        <w:tc>
          <w:tcPr>
            <w:tcW w:w="66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4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2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5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73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21</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w:t>
            </w:r>
          </w:p>
        </w:tc>
      </w:tr>
      <w:tr w:rsidR="00D03E50" w:rsidRPr="008A3C80" w:rsidTr="00706D68">
        <w:trPr>
          <w:trHeight w:val="300"/>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val="restart"/>
            <w:tcBorders>
              <w:top w:val="nil"/>
              <w:left w:val="nil"/>
              <w:bottom w:val="single" w:sz="4" w:space="0" w:color="000000"/>
              <w:right w:val="nil"/>
            </w:tcBorders>
            <w:shd w:val="clear" w:color="auto" w:fill="auto"/>
            <w:noWrap/>
            <w:textDirection w:val="btLr"/>
            <w:vAlign w:val="center"/>
            <w:hideMark/>
          </w:tcPr>
          <w:p w:rsidR="00D03E50" w:rsidRPr="008A3C80" w:rsidRDefault="00D03E50"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Tomografia tórax</w:t>
            </w: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spellStart"/>
            <w:r w:rsidRPr="008A3C80">
              <w:rPr>
                <w:rFonts w:ascii="Times New Roman" w:hAnsi="Times New Roman"/>
                <w:color w:val="000000"/>
                <w:sz w:val="24"/>
                <w:lang w:eastAsia="pt-BR"/>
              </w:rPr>
              <w:t>Ign</w:t>
            </w:r>
            <w:proofErr w:type="spellEnd"/>
            <w:r w:rsidRPr="008A3C80">
              <w:rPr>
                <w:rFonts w:ascii="Times New Roman" w:hAnsi="Times New Roman"/>
                <w:color w:val="000000"/>
                <w:sz w:val="24"/>
                <w:lang w:eastAsia="pt-BR"/>
              </w:rPr>
              <w:t>/Branco</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23</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FF0000"/>
                <w:sz w:val="24"/>
                <w:lang w:eastAsia="pt-BR"/>
              </w:rPr>
            </w:pPr>
            <w:r w:rsidRPr="008A3C80">
              <w:rPr>
                <w:rFonts w:ascii="Times New Roman" w:hAnsi="Times New Roman"/>
                <w:sz w:val="24"/>
                <w:lang w:eastAsia="pt-BR"/>
              </w:rPr>
              <w:t>281</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321</w:t>
            </w:r>
          </w:p>
        </w:tc>
        <w:tc>
          <w:tcPr>
            <w:tcW w:w="683" w:type="dxa"/>
            <w:tcBorders>
              <w:top w:val="single" w:sz="4" w:space="0" w:color="auto"/>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27%</w:t>
            </w:r>
          </w:p>
        </w:tc>
      </w:tr>
      <w:tr w:rsidR="00D03E50" w:rsidRPr="008A3C80" w:rsidTr="00706D68">
        <w:trPr>
          <w:trHeight w:val="300"/>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Sim</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proofErr w:type="gramStart"/>
            <w:r w:rsidRPr="008A3C80">
              <w:rPr>
                <w:rFonts w:ascii="Times New Roman" w:hAnsi="Times New Roman"/>
                <w:sz w:val="24"/>
                <w:lang w:eastAsia="pt-BR"/>
              </w:rPr>
              <w:t>5</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595</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39</w:t>
            </w:r>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46</w:t>
            </w:r>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59</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14</w:t>
            </w:r>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97</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855</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72%</w:t>
            </w:r>
          </w:p>
        </w:tc>
      </w:tr>
      <w:tr w:rsidR="00D03E50" w:rsidRPr="008A3C80" w:rsidTr="002F29E0">
        <w:trPr>
          <w:trHeight w:val="741"/>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Não</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68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6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4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2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5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3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16</w:t>
            </w:r>
          </w:p>
        </w:tc>
        <w:tc>
          <w:tcPr>
            <w:tcW w:w="683"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w:t>
            </w:r>
          </w:p>
        </w:tc>
      </w:tr>
      <w:tr w:rsidR="00D03E50" w:rsidRPr="008A3C80" w:rsidTr="00706D68">
        <w:trPr>
          <w:trHeight w:val="300"/>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val="restart"/>
            <w:tcBorders>
              <w:top w:val="nil"/>
              <w:left w:val="nil"/>
              <w:bottom w:val="single" w:sz="4" w:space="0" w:color="000000"/>
              <w:right w:val="nil"/>
            </w:tcBorders>
            <w:shd w:val="clear" w:color="auto" w:fill="auto"/>
            <w:noWrap/>
            <w:textDirection w:val="btLr"/>
            <w:vAlign w:val="center"/>
            <w:hideMark/>
          </w:tcPr>
          <w:p w:rsidR="00D03E50" w:rsidRPr="008A3C80" w:rsidRDefault="008E068A"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Biópsia pulmonar</w:t>
            </w: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FF0000"/>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602</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282</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10</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911</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76%</w:t>
            </w:r>
          </w:p>
        </w:tc>
      </w:tr>
      <w:tr w:rsidR="00D03E50" w:rsidRPr="008A3C80" w:rsidTr="00706D68">
        <w:trPr>
          <w:trHeight w:val="300"/>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Sim</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89</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96</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8%</w:t>
            </w:r>
          </w:p>
        </w:tc>
      </w:tr>
      <w:tr w:rsidR="00D03E50" w:rsidRPr="008A3C80" w:rsidTr="002F29E0">
        <w:trPr>
          <w:trHeight w:val="627"/>
        </w:trPr>
        <w:tc>
          <w:tcPr>
            <w:tcW w:w="42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b/>
                <w:color w:val="000000"/>
                <w:sz w:val="24"/>
                <w:lang w:eastAsia="pt-BR"/>
              </w:rPr>
            </w:pPr>
          </w:p>
        </w:tc>
        <w:tc>
          <w:tcPr>
            <w:tcW w:w="3154"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Não</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7</w:t>
            </w:r>
            <w:proofErr w:type="gramEnd"/>
          </w:p>
        </w:tc>
        <w:tc>
          <w:tcPr>
            <w:tcW w:w="68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18</w:t>
            </w:r>
          </w:p>
        </w:tc>
        <w:tc>
          <w:tcPr>
            <w:tcW w:w="66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40</w:t>
            </w:r>
          </w:p>
        </w:tc>
        <w:tc>
          <w:tcPr>
            <w:tcW w:w="64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44</w:t>
            </w:r>
          </w:p>
        </w:tc>
        <w:tc>
          <w:tcPr>
            <w:tcW w:w="62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63</w:t>
            </w:r>
          </w:p>
        </w:tc>
        <w:tc>
          <w:tcPr>
            <w:tcW w:w="75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8</w:t>
            </w:r>
            <w:proofErr w:type="gramEnd"/>
          </w:p>
        </w:tc>
        <w:tc>
          <w:tcPr>
            <w:tcW w:w="73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5</w:t>
            </w:r>
            <w:proofErr w:type="gramEnd"/>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185</w:t>
            </w:r>
          </w:p>
        </w:tc>
        <w:tc>
          <w:tcPr>
            <w:tcW w:w="683"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16%</w:t>
            </w:r>
          </w:p>
        </w:tc>
      </w:tr>
      <w:tr w:rsidR="00D03E50" w:rsidRPr="008A3C80" w:rsidTr="00706D68">
        <w:trPr>
          <w:trHeight w:val="300"/>
        </w:trPr>
        <w:tc>
          <w:tcPr>
            <w:tcW w:w="422" w:type="dxa"/>
            <w:tcBorders>
              <w:top w:val="nil"/>
              <w:left w:val="nil"/>
              <w:bottom w:val="nil"/>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b/>
                <w:color w:val="000000"/>
                <w:sz w:val="24"/>
                <w:lang w:eastAsia="pt-BR"/>
              </w:rPr>
            </w:pPr>
            <w:r w:rsidRPr="008A3C80">
              <w:rPr>
                <w:rFonts w:ascii="Times New Roman" w:hAnsi="Times New Roman"/>
                <w:b/>
                <w:color w:val="000000"/>
                <w:sz w:val="24"/>
                <w:lang w:eastAsia="pt-BR"/>
              </w:rPr>
              <w:t> </w:t>
            </w:r>
          </w:p>
        </w:tc>
        <w:tc>
          <w:tcPr>
            <w:tcW w:w="712" w:type="dxa"/>
            <w:vMerge w:val="restart"/>
            <w:tcBorders>
              <w:top w:val="nil"/>
              <w:left w:val="nil"/>
              <w:bottom w:val="single" w:sz="4" w:space="0" w:color="000000"/>
              <w:right w:val="nil"/>
            </w:tcBorders>
            <w:shd w:val="clear" w:color="auto" w:fill="auto"/>
            <w:noWrap/>
            <w:textDirection w:val="btLr"/>
            <w:vAlign w:val="center"/>
            <w:hideMark/>
          </w:tcPr>
          <w:p w:rsidR="00D03E50" w:rsidRPr="008A3C80" w:rsidRDefault="00D03E50" w:rsidP="0035721A">
            <w:pPr>
              <w:spacing w:after="0" w:line="240" w:lineRule="auto"/>
              <w:jc w:val="center"/>
              <w:rPr>
                <w:rFonts w:ascii="Times New Roman" w:hAnsi="Times New Roman"/>
                <w:b/>
                <w:color w:val="000000"/>
                <w:sz w:val="24"/>
                <w:lang w:eastAsia="pt-BR"/>
              </w:rPr>
            </w:pPr>
            <w:r w:rsidRPr="008A3C80">
              <w:rPr>
                <w:rFonts w:ascii="Times New Roman" w:hAnsi="Times New Roman"/>
                <w:b/>
                <w:color w:val="000000"/>
                <w:sz w:val="24"/>
                <w:lang w:eastAsia="pt-BR"/>
              </w:rPr>
              <w:t>Diagnóstico Específico</w:t>
            </w:r>
          </w:p>
        </w:tc>
        <w:tc>
          <w:tcPr>
            <w:tcW w:w="3154" w:type="dxa"/>
            <w:tcBorders>
              <w:top w:val="nil"/>
              <w:left w:val="nil"/>
              <w:bottom w:val="nil"/>
              <w:right w:val="nil"/>
            </w:tcBorders>
            <w:shd w:val="clear" w:color="auto" w:fill="auto"/>
            <w:noWrap/>
            <w:vAlign w:val="center"/>
            <w:hideMark/>
          </w:tcPr>
          <w:p w:rsidR="00D03E50" w:rsidRPr="008A3C80" w:rsidRDefault="00D03E50" w:rsidP="00647C05">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J61</w:t>
            </w:r>
            <w:proofErr w:type="gramStart"/>
            <w:r w:rsidRPr="008A3C80">
              <w:rPr>
                <w:rFonts w:ascii="Times New Roman" w:hAnsi="Times New Roman"/>
                <w:color w:val="000000"/>
                <w:sz w:val="24"/>
                <w:lang w:eastAsia="pt-BR"/>
              </w:rPr>
              <w:t xml:space="preserve">  </w:t>
            </w:r>
            <w:proofErr w:type="gramEnd"/>
            <w:r w:rsidRPr="008A3C80">
              <w:rPr>
                <w:rFonts w:ascii="Times New Roman" w:hAnsi="Times New Roman"/>
                <w:color w:val="000000"/>
                <w:sz w:val="24"/>
                <w:lang w:eastAsia="pt-BR"/>
              </w:rPr>
              <w:t>P</w:t>
            </w:r>
            <w:r w:rsidR="000C5409" w:rsidRPr="008A3C80">
              <w:rPr>
                <w:rFonts w:ascii="Times New Roman" w:hAnsi="Times New Roman"/>
                <w:color w:val="000000"/>
                <w:sz w:val="24"/>
                <w:lang w:eastAsia="pt-BR"/>
              </w:rPr>
              <w:t>neumoconiose devida a amianto e outras fibras minerais</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5</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45</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8</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9</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95</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24</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192</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16%</w:t>
            </w:r>
          </w:p>
        </w:tc>
      </w:tr>
      <w:tr w:rsidR="00D03E50" w:rsidRPr="008A3C80" w:rsidTr="00706D68">
        <w:trPr>
          <w:trHeight w:val="300"/>
        </w:trPr>
        <w:tc>
          <w:tcPr>
            <w:tcW w:w="422" w:type="dxa"/>
            <w:tcBorders>
              <w:top w:val="nil"/>
              <w:left w:val="nil"/>
              <w:bottom w:val="nil"/>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647C05">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C45</w:t>
            </w:r>
            <w:proofErr w:type="gramStart"/>
            <w:r w:rsidRPr="008A3C80">
              <w:rPr>
                <w:rFonts w:ascii="Times New Roman" w:hAnsi="Times New Roman"/>
                <w:color w:val="000000"/>
                <w:sz w:val="24"/>
                <w:lang w:eastAsia="pt-BR"/>
              </w:rPr>
              <w:t xml:space="preserve">  </w:t>
            </w:r>
            <w:proofErr w:type="gramEnd"/>
            <w:r w:rsidRPr="008A3C80">
              <w:rPr>
                <w:rFonts w:ascii="Times New Roman" w:hAnsi="Times New Roman"/>
                <w:color w:val="000000"/>
                <w:sz w:val="24"/>
                <w:lang w:eastAsia="pt-BR"/>
              </w:rPr>
              <w:t>M</w:t>
            </w:r>
            <w:r w:rsidR="000C5409" w:rsidRPr="008A3C80">
              <w:rPr>
                <w:rFonts w:ascii="Times New Roman" w:hAnsi="Times New Roman"/>
                <w:color w:val="000000"/>
                <w:sz w:val="24"/>
                <w:lang w:eastAsia="pt-BR"/>
              </w:rPr>
              <w:t>esotelioma</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0%</w:t>
            </w:r>
          </w:p>
        </w:tc>
      </w:tr>
      <w:tr w:rsidR="00D03E50" w:rsidRPr="008A3C80" w:rsidTr="00706D68">
        <w:trPr>
          <w:trHeight w:val="300"/>
        </w:trPr>
        <w:tc>
          <w:tcPr>
            <w:tcW w:w="422" w:type="dxa"/>
            <w:tcBorders>
              <w:top w:val="nil"/>
              <w:left w:val="nil"/>
              <w:bottom w:val="nil"/>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color w:val="000000"/>
                <w:sz w:val="24"/>
                <w:lang w:eastAsia="pt-BR"/>
              </w:rPr>
            </w:pP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color w:val="000000"/>
                <w:sz w:val="24"/>
                <w:lang w:eastAsia="pt-BR"/>
              </w:rPr>
            </w:pPr>
          </w:p>
        </w:tc>
        <w:tc>
          <w:tcPr>
            <w:tcW w:w="3154" w:type="dxa"/>
            <w:tcBorders>
              <w:top w:val="nil"/>
              <w:left w:val="nil"/>
              <w:bottom w:val="nil"/>
              <w:right w:val="nil"/>
            </w:tcBorders>
            <w:shd w:val="clear" w:color="auto" w:fill="auto"/>
            <w:noWrap/>
            <w:vAlign w:val="center"/>
            <w:hideMark/>
          </w:tcPr>
          <w:p w:rsidR="00D03E50" w:rsidRPr="008A3C80" w:rsidRDefault="00D03E50" w:rsidP="00647C05">
            <w:pPr>
              <w:spacing w:after="0" w:line="240" w:lineRule="auto"/>
              <w:rPr>
                <w:rFonts w:ascii="Times New Roman" w:hAnsi="Times New Roman"/>
                <w:sz w:val="24"/>
                <w:lang w:eastAsia="pt-BR"/>
              </w:rPr>
            </w:pPr>
            <w:r w:rsidRPr="008A3C80">
              <w:rPr>
                <w:rFonts w:ascii="Times New Roman" w:hAnsi="Times New Roman"/>
                <w:sz w:val="24"/>
                <w:lang w:eastAsia="pt-BR"/>
              </w:rPr>
              <w:t>J92</w:t>
            </w:r>
            <w:proofErr w:type="gramStart"/>
            <w:r w:rsidRPr="008A3C80">
              <w:rPr>
                <w:rFonts w:ascii="Times New Roman" w:hAnsi="Times New Roman"/>
                <w:sz w:val="24"/>
                <w:lang w:eastAsia="pt-BR"/>
              </w:rPr>
              <w:t xml:space="preserve">  </w:t>
            </w:r>
            <w:proofErr w:type="gramEnd"/>
            <w:r w:rsidRPr="008A3C80">
              <w:rPr>
                <w:rFonts w:ascii="Times New Roman" w:hAnsi="Times New Roman"/>
                <w:sz w:val="24"/>
                <w:lang w:eastAsia="pt-BR"/>
              </w:rPr>
              <w:t>P</w:t>
            </w:r>
            <w:r w:rsidR="000C5409" w:rsidRPr="008A3C80">
              <w:rPr>
                <w:rFonts w:ascii="Times New Roman" w:hAnsi="Times New Roman"/>
                <w:sz w:val="24"/>
                <w:lang w:eastAsia="pt-BR"/>
              </w:rPr>
              <w:t>lacas pleurais</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c>
          <w:tcPr>
            <w:tcW w:w="68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570</w:t>
            </w:r>
          </w:p>
        </w:tc>
        <w:tc>
          <w:tcPr>
            <w:tcW w:w="66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39</w:t>
            </w:r>
          </w:p>
        </w:tc>
        <w:tc>
          <w:tcPr>
            <w:tcW w:w="64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36</w:t>
            </w:r>
          </w:p>
        </w:tc>
        <w:tc>
          <w:tcPr>
            <w:tcW w:w="62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sz w:val="24"/>
                <w:lang w:eastAsia="pt-BR"/>
              </w:rPr>
            </w:pPr>
            <w:r w:rsidRPr="008A3C80">
              <w:rPr>
                <w:rFonts w:ascii="Times New Roman" w:hAnsi="Times New Roman"/>
                <w:sz w:val="24"/>
                <w:lang w:eastAsia="pt-BR"/>
              </w:rPr>
              <w:t>245</w:t>
            </w:r>
          </w:p>
        </w:tc>
        <w:tc>
          <w:tcPr>
            <w:tcW w:w="75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8</w:t>
            </w:r>
            <w:proofErr w:type="gramEnd"/>
          </w:p>
        </w:tc>
        <w:tc>
          <w:tcPr>
            <w:tcW w:w="731"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55</w:t>
            </w:r>
          </w:p>
        </w:tc>
        <w:tc>
          <w:tcPr>
            <w:tcW w:w="709"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956</w:t>
            </w:r>
          </w:p>
        </w:tc>
        <w:tc>
          <w:tcPr>
            <w:tcW w:w="683" w:type="dxa"/>
            <w:tcBorders>
              <w:top w:val="nil"/>
              <w:left w:val="nil"/>
              <w:bottom w:val="nil"/>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80%</w:t>
            </w:r>
          </w:p>
        </w:tc>
      </w:tr>
      <w:tr w:rsidR="00D03E50" w:rsidRPr="008A3C80" w:rsidTr="002F29E0">
        <w:trPr>
          <w:trHeight w:val="627"/>
        </w:trPr>
        <w:tc>
          <w:tcPr>
            <w:tcW w:w="422" w:type="dxa"/>
            <w:tcBorders>
              <w:top w:val="nil"/>
              <w:left w:val="nil"/>
              <w:bottom w:val="single" w:sz="4" w:space="0" w:color="auto"/>
              <w:right w:val="nil"/>
            </w:tcBorders>
            <w:shd w:val="clear" w:color="auto" w:fill="auto"/>
            <w:noWrap/>
            <w:vAlign w:val="center"/>
            <w:hideMark/>
          </w:tcPr>
          <w:p w:rsidR="00D03E50" w:rsidRPr="008A3C80" w:rsidRDefault="00D03E50" w:rsidP="0035721A">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 </w:t>
            </w:r>
          </w:p>
        </w:tc>
        <w:tc>
          <w:tcPr>
            <w:tcW w:w="712" w:type="dxa"/>
            <w:vMerge/>
            <w:tcBorders>
              <w:top w:val="nil"/>
              <w:left w:val="nil"/>
              <w:bottom w:val="single" w:sz="4" w:space="0" w:color="000000"/>
              <w:right w:val="nil"/>
            </w:tcBorders>
            <w:vAlign w:val="center"/>
            <w:hideMark/>
          </w:tcPr>
          <w:p w:rsidR="00D03E50" w:rsidRPr="008A3C80" w:rsidRDefault="00D03E50" w:rsidP="0035721A">
            <w:pPr>
              <w:spacing w:after="0" w:line="240" w:lineRule="auto"/>
              <w:rPr>
                <w:rFonts w:ascii="Times New Roman" w:hAnsi="Times New Roman"/>
                <w:color w:val="000000"/>
                <w:sz w:val="24"/>
                <w:lang w:eastAsia="pt-BR"/>
              </w:rPr>
            </w:pPr>
          </w:p>
        </w:tc>
        <w:tc>
          <w:tcPr>
            <w:tcW w:w="3154" w:type="dxa"/>
            <w:tcBorders>
              <w:top w:val="nil"/>
              <w:left w:val="nil"/>
              <w:bottom w:val="single" w:sz="4" w:space="0" w:color="auto"/>
              <w:right w:val="nil"/>
            </w:tcBorders>
            <w:shd w:val="clear" w:color="auto" w:fill="auto"/>
            <w:noWrap/>
            <w:vAlign w:val="center"/>
            <w:hideMark/>
          </w:tcPr>
          <w:p w:rsidR="00D03E50" w:rsidRPr="008A3C80" w:rsidRDefault="00D03E50" w:rsidP="00647C05">
            <w:pPr>
              <w:spacing w:after="0" w:line="240" w:lineRule="auto"/>
              <w:rPr>
                <w:rFonts w:ascii="Times New Roman" w:hAnsi="Times New Roman"/>
                <w:color w:val="000000"/>
                <w:sz w:val="24"/>
                <w:lang w:eastAsia="pt-BR"/>
              </w:rPr>
            </w:pPr>
            <w:r w:rsidRPr="008A3C80">
              <w:rPr>
                <w:rFonts w:ascii="Times New Roman" w:hAnsi="Times New Roman"/>
                <w:color w:val="000000"/>
                <w:sz w:val="24"/>
                <w:lang w:eastAsia="pt-BR"/>
              </w:rPr>
              <w:t>J920 P</w:t>
            </w:r>
            <w:r w:rsidR="000C5409" w:rsidRPr="008A3C80">
              <w:rPr>
                <w:rFonts w:ascii="Times New Roman" w:hAnsi="Times New Roman"/>
                <w:color w:val="000000"/>
                <w:sz w:val="24"/>
                <w:lang w:eastAsia="pt-BR"/>
              </w:rPr>
              <w:t>lacas pleurais com presença de amianto</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1</w:t>
            </w:r>
            <w:proofErr w:type="gramEnd"/>
          </w:p>
        </w:tc>
        <w:tc>
          <w:tcPr>
            <w:tcW w:w="68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2</w:t>
            </w:r>
            <w:proofErr w:type="gramEnd"/>
          </w:p>
        </w:tc>
        <w:tc>
          <w:tcPr>
            <w:tcW w:w="66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64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62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6</w:t>
            </w:r>
            <w:proofErr w:type="gramEnd"/>
          </w:p>
        </w:tc>
        <w:tc>
          <w:tcPr>
            <w:tcW w:w="75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731"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25</w:t>
            </w:r>
          </w:p>
        </w:tc>
        <w:tc>
          <w:tcPr>
            <w:tcW w:w="709"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41</w:t>
            </w:r>
          </w:p>
        </w:tc>
        <w:tc>
          <w:tcPr>
            <w:tcW w:w="683" w:type="dxa"/>
            <w:tcBorders>
              <w:top w:val="nil"/>
              <w:left w:val="nil"/>
              <w:bottom w:val="single" w:sz="4" w:space="0" w:color="auto"/>
              <w:right w:val="nil"/>
            </w:tcBorders>
            <w:shd w:val="clear" w:color="auto" w:fill="auto"/>
            <w:noWrap/>
            <w:vAlign w:val="center"/>
            <w:hideMark/>
          </w:tcPr>
          <w:p w:rsidR="00D03E50" w:rsidRPr="008A3C80" w:rsidRDefault="00D03E50" w:rsidP="00706D68">
            <w:pPr>
              <w:spacing w:after="0" w:line="240" w:lineRule="auto"/>
              <w:jc w:val="center"/>
              <w:rPr>
                <w:rFonts w:ascii="Times New Roman" w:hAnsi="Times New Roman"/>
                <w:color w:val="000000"/>
                <w:sz w:val="24"/>
                <w:lang w:eastAsia="pt-BR"/>
              </w:rPr>
            </w:pPr>
            <w:r w:rsidRPr="008A3C80">
              <w:rPr>
                <w:rFonts w:ascii="Times New Roman" w:hAnsi="Times New Roman"/>
                <w:color w:val="000000"/>
                <w:sz w:val="24"/>
                <w:lang w:eastAsia="pt-BR"/>
              </w:rPr>
              <w:t>3%</w:t>
            </w:r>
          </w:p>
        </w:tc>
      </w:tr>
    </w:tbl>
    <w:p w:rsidR="00394250" w:rsidRPr="008A3C80" w:rsidRDefault="0079729E" w:rsidP="00394250">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Fonte: SINAN/MS.</w:t>
      </w:r>
      <w:r w:rsidR="00394250" w:rsidRPr="008A3C80">
        <w:rPr>
          <w:rFonts w:ascii="Times New Roman" w:hAnsi="Times New Roman"/>
          <w:color w:val="000000" w:themeColor="text1"/>
          <w:sz w:val="24"/>
          <w:szCs w:val="24"/>
        </w:rPr>
        <w:t xml:space="preserve">  Atualizado em 14/07/2014.</w:t>
      </w:r>
    </w:p>
    <w:p w:rsidR="0079729E" w:rsidRPr="008A3C80" w:rsidRDefault="0079729E" w:rsidP="0079729E">
      <w:pPr>
        <w:autoSpaceDE w:val="0"/>
        <w:autoSpaceDN w:val="0"/>
        <w:adjustRightInd w:val="0"/>
        <w:spacing w:line="480" w:lineRule="auto"/>
        <w:jc w:val="both"/>
        <w:rPr>
          <w:rFonts w:ascii="Times New Roman" w:hAnsi="Times New Roman"/>
          <w:color w:val="000000" w:themeColor="text1"/>
          <w:sz w:val="24"/>
          <w:szCs w:val="24"/>
        </w:rPr>
      </w:pPr>
    </w:p>
    <w:p w:rsidR="00FD5BF4" w:rsidRPr="008A3C80" w:rsidRDefault="00853688"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 xml:space="preserve">O </w:t>
      </w:r>
      <w:r w:rsidRPr="008A3C80">
        <w:rPr>
          <w:rFonts w:ascii="Times New Roman" w:hAnsi="Times New Roman"/>
          <w:i/>
          <w:color w:val="000000" w:themeColor="text1"/>
          <w:sz w:val="24"/>
          <w:szCs w:val="24"/>
        </w:rPr>
        <w:t xml:space="preserve">tempo de exposição ao agente </w:t>
      </w:r>
      <w:r w:rsidR="002A1C30" w:rsidRPr="008A3C80">
        <w:rPr>
          <w:rFonts w:ascii="Times New Roman" w:hAnsi="Times New Roman"/>
          <w:i/>
          <w:color w:val="000000" w:themeColor="text1"/>
          <w:sz w:val="24"/>
          <w:szCs w:val="24"/>
        </w:rPr>
        <w:t>de risco</w:t>
      </w:r>
      <w:r w:rsidR="002A1C30" w:rsidRPr="008A3C80">
        <w:rPr>
          <w:rFonts w:ascii="Times New Roman" w:hAnsi="Times New Roman"/>
          <w:color w:val="000000" w:themeColor="text1"/>
          <w:sz w:val="24"/>
          <w:szCs w:val="24"/>
        </w:rPr>
        <w:t xml:space="preserve"> </w:t>
      </w:r>
      <w:r w:rsidR="0065489A" w:rsidRPr="008A3C80">
        <w:rPr>
          <w:rFonts w:ascii="Times New Roman" w:hAnsi="Times New Roman"/>
          <w:color w:val="000000" w:themeColor="text1"/>
          <w:sz w:val="24"/>
          <w:szCs w:val="24"/>
        </w:rPr>
        <w:t>t</w:t>
      </w:r>
      <w:r w:rsidRPr="008A3C80">
        <w:rPr>
          <w:rFonts w:ascii="Times New Roman" w:hAnsi="Times New Roman"/>
          <w:color w:val="000000" w:themeColor="text1"/>
          <w:sz w:val="24"/>
          <w:szCs w:val="24"/>
        </w:rPr>
        <w:t xml:space="preserve">eve </w:t>
      </w:r>
      <w:r w:rsidR="00E81D4F" w:rsidRPr="008A3C80">
        <w:rPr>
          <w:rFonts w:ascii="Times New Roman" w:hAnsi="Times New Roman"/>
          <w:color w:val="000000" w:themeColor="text1"/>
          <w:sz w:val="24"/>
          <w:szCs w:val="24"/>
        </w:rPr>
        <w:t xml:space="preserve">um baixo preenchimento onde os ignorados ou em branco </w:t>
      </w:r>
      <w:r w:rsidR="00636877" w:rsidRPr="008A3C80">
        <w:rPr>
          <w:rFonts w:ascii="Times New Roman" w:hAnsi="Times New Roman"/>
          <w:color w:val="000000" w:themeColor="text1"/>
          <w:sz w:val="24"/>
          <w:szCs w:val="24"/>
        </w:rPr>
        <w:t>re</w:t>
      </w:r>
      <w:r w:rsidR="00E81D4F" w:rsidRPr="008A3C80">
        <w:rPr>
          <w:rFonts w:ascii="Times New Roman" w:hAnsi="Times New Roman"/>
          <w:color w:val="000000" w:themeColor="text1"/>
          <w:sz w:val="24"/>
          <w:szCs w:val="24"/>
        </w:rPr>
        <w:t>presentaram 67% ou 793 casos. Contudo, o</w:t>
      </w:r>
      <w:r w:rsidR="00636877" w:rsidRPr="008A3C80">
        <w:rPr>
          <w:rFonts w:ascii="Times New Roman" w:hAnsi="Times New Roman"/>
          <w:color w:val="000000" w:themeColor="text1"/>
          <w:sz w:val="24"/>
          <w:szCs w:val="24"/>
        </w:rPr>
        <w:t>s demais</w:t>
      </w:r>
      <w:r w:rsidR="00E81D4F" w:rsidRPr="008A3C80">
        <w:rPr>
          <w:rFonts w:ascii="Times New Roman" w:hAnsi="Times New Roman"/>
          <w:color w:val="000000" w:themeColor="text1"/>
          <w:sz w:val="24"/>
          <w:szCs w:val="24"/>
        </w:rPr>
        <w:t xml:space="preserve"> registro</w:t>
      </w:r>
      <w:r w:rsidR="00636877" w:rsidRPr="008A3C80">
        <w:rPr>
          <w:rFonts w:ascii="Times New Roman" w:hAnsi="Times New Roman"/>
          <w:color w:val="000000" w:themeColor="text1"/>
          <w:sz w:val="24"/>
          <w:szCs w:val="24"/>
        </w:rPr>
        <w:t>s</w:t>
      </w:r>
      <w:r w:rsidR="002A1C30" w:rsidRPr="008A3C80">
        <w:rPr>
          <w:rFonts w:ascii="Times New Roman" w:hAnsi="Times New Roman"/>
          <w:color w:val="000000" w:themeColor="text1"/>
          <w:sz w:val="24"/>
          <w:szCs w:val="24"/>
        </w:rPr>
        <w:t xml:space="preserve"> </w:t>
      </w:r>
      <w:r w:rsidR="00E81D4F" w:rsidRPr="008A3C80">
        <w:rPr>
          <w:rFonts w:ascii="Times New Roman" w:hAnsi="Times New Roman"/>
          <w:color w:val="000000" w:themeColor="text1"/>
          <w:sz w:val="24"/>
          <w:szCs w:val="24"/>
        </w:rPr>
        <w:lastRenderedPageBreak/>
        <w:t>aponta</w:t>
      </w:r>
      <w:r w:rsidR="00636877" w:rsidRPr="008A3C80">
        <w:rPr>
          <w:rFonts w:ascii="Times New Roman" w:hAnsi="Times New Roman"/>
          <w:color w:val="000000" w:themeColor="text1"/>
          <w:sz w:val="24"/>
          <w:szCs w:val="24"/>
        </w:rPr>
        <w:t>m</w:t>
      </w:r>
      <w:r w:rsidR="00E81D4F" w:rsidRPr="008A3C80">
        <w:rPr>
          <w:rFonts w:ascii="Times New Roman" w:hAnsi="Times New Roman"/>
          <w:color w:val="000000" w:themeColor="text1"/>
          <w:sz w:val="24"/>
          <w:szCs w:val="24"/>
        </w:rPr>
        <w:t xml:space="preserve"> o tempo de exposição em anos como </w:t>
      </w:r>
      <w:r w:rsidR="002A1C30" w:rsidRPr="008A3C80">
        <w:rPr>
          <w:rFonts w:ascii="Times New Roman" w:hAnsi="Times New Roman"/>
          <w:color w:val="000000" w:themeColor="text1"/>
          <w:sz w:val="24"/>
          <w:szCs w:val="24"/>
        </w:rPr>
        <w:t>predominante</w:t>
      </w:r>
      <w:r w:rsidR="003F755F" w:rsidRPr="008A3C80">
        <w:rPr>
          <w:rFonts w:ascii="Times New Roman" w:hAnsi="Times New Roman"/>
          <w:color w:val="000000" w:themeColor="text1"/>
          <w:sz w:val="24"/>
          <w:szCs w:val="24"/>
        </w:rPr>
        <w:t>, com 379 casos ou 32%</w:t>
      </w:r>
      <w:r w:rsidRPr="008A3C80">
        <w:rPr>
          <w:rFonts w:ascii="Times New Roman" w:hAnsi="Times New Roman"/>
          <w:color w:val="000000" w:themeColor="text1"/>
          <w:sz w:val="24"/>
          <w:szCs w:val="24"/>
        </w:rPr>
        <w:t>, contra os 18 ou 2% mencionados em meses</w:t>
      </w:r>
      <w:r w:rsidR="003F755F" w:rsidRPr="008A3C80">
        <w:rPr>
          <w:rFonts w:ascii="Times New Roman" w:hAnsi="Times New Roman"/>
          <w:color w:val="000000" w:themeColor="text1"/>
          <w:sz w:val="24"/>
          <w:szCs w:val="24"/>
        </w:rPr>
        <w:t xml:space="preserve"> de exposição ao asbesto</w:t>
      </w:r>
      <w:r w:rsidRPr="008A3C80">
        <w:rPr>
          <w:rFonts w:ascii="Times New Roman" w:hAnsi="Times New Roman"/>
          <w:color w:val="000000" w:themeColor="text1"/>
          <w:sz w:val="24"/>
          <w:szCs w:val="24"/>
        </w:rPr>
        <w:t xml:space="preserve">. </w:t>
      </w:r>
      <w:r w:rsidR="00DA52A1" w:rsidRPr="008A3C80">
        <w:rPr>
          <w:rFonts w:ascii="Times New Roman" w:hAnsi="Times New Roman"/>
          <w:color w:val="000000" w:themeColor="text1"/>
          <w:sz w:val="24"/>
          <w:szCs w:val="24"/>
        </w:rPr>
        <w:t>O envolvimento de outros trabalhadores foi citado em 97% das notificações</w:t>
      </w:r>
      <w:r w:rsidR="005F35F7" w:rsidRPr="008A3C80">
        <w:rPr>
          <w:rFonts w:ascii="Times New Roman" w:hAnsi="Times New Roman"/>
          <w:color w:val="000000" w:themeColor="text1"/>
          <w:sz w:val="24"/>
          <w:szCs w:val="24"/>
        </w:rPr>
        <w:t xml:space="preserve">. </w:t>
      </w:r>
      <w:r w:rsidR="00D707D5" w:rsidRPr="008A3C80">
        <w:rPr>
          <w:rFonts w:ascii="Times New Roman" w:hAnsi="Times New Roman"/>
          <w:color w:val="000000" w:themeColor="text1"/>
          <w:sz w:val="24"/>
          <w:szCs w:val="24"/>
        </w:rPr>
        <w:t xml:space="preserve">A maioria dos casos </w:t>
      </w:r>
      <w:r w:rsidR="00D7212A" w:rsidRPr="008A3C80">
        <w:rPr>
          <w:rFonts w:ascii="Times New Roman" w:hAnsi="Times New Roman"/>
          <w:color w:val="000000" w:themeColor="text1"/>
          <w:sz w:val="24"/>
          <w:szCs w:val="24"/>
        </w:rPr>
        <w:t>evoluiu par</w:t>
      </w:r>
      <w:r w:rsidR="00D707D5" w:rsidRPr="008A3C80">
        <w:rPr>
          <w:rFonts w:ascii="Times New Roman" w:hAnsi="Times New Roman"/>
          <w:color w:val="000000" w:themeColor="text1"/>
          <w:sz w:val="24"/>
          <w:szCs w:val="24"/>
        </w:rPr>
        <w:t>a incapacidade permanente parcial</w:t>
      </w:r>
      <w:r w:rsidR="00D7212A" w:rsidRPr="008A3C80">
        <w:rPr>
          <w:rFonts w:ascii="Times New Roman" w:hAnsi="Times New Roman"/>
          <w:color w:val="000000" w:themeColor="text1"/>
          <w:sz w:val="24"/>
          <w:szCs w:val="24"/>
        </w:rPr>
        <w:t xml:space="preserve">, com </w:t>
      </w:r>
      <w:r w:rsidR="00D707D5" w:rsidRPr="008A3C80">
        <w:rPr>
          <w:rFonts w:ascii="Times New Roman" w:hAnsi="Times New Roman"/>
          <w:color w:val="000000" w:themeColor="text1"/>
          <w:sz w:val="24"/>
          <w:szCs w:val="24"/>
        </w:rPr>
        <w:t>180 registros</w:t>
      </w:r>
      <w:r w:rsidR="00D7212A" w:rsidRPr="008A3C80">
        <w:rPr>
          <w:rFonts w:ascii="Times New Roman" w:hAnsi="Times New Roman"/>
          <w:color w:val="000000" w:themeColor="text1"/>
          <w:sz w:val="24"/>
          <w:szCs w:val="24"/>
        </w:rPr>
        <w:t xml:space="preserve"> ou 15%,</w:t>
      </w:r>
      <w:r w:rsidR="00D707D5" w:rsidRPr="008A3C80">
        <w:rPr>
          <w:rFonts w:ascii="Times New Roman" w:hAnsi="Times New Roman"/>
          <w:color w:val="000000" w:themeColor="text1"/>
          <w:sz w:val="24"/>
          <w:szCs w:val="24"/>
        </w:rPr>
        <w:t xml:space="preserve"> e as incapacidades perman</w:t>
      </w:r>
      <w:r w:rsidR="00D7212A" w:rsidRPr="008A3C80">
        <w:rPr>
          <w:rFonts w:ascii="Times New Roman" w:hAnsi="Times New Roman"/>
          <w:color w:val="000000" w:themeColor="text1"/>
          <w:sz w:val="24"/>
          <w:szCs w:val="24"/>
        </w:rPr>
        <w:t>en</w:t>
      </w:r>
      <w:r w:rsidR="00D707D5" w:rsidRPr="008A3C80">
        <w:rPr>
          <w:rFonts w:ascii="Times New Roman" w:hAnsi="Times New Roman"/>
          <w:color w:val="000000" w:themeColor="text1"/>
          <w:sz w:val="24"/>
          <w:szCs w:val="24"/>
        </w:rPr>
        <w:t>tes totais 31</w:t>
      </w:r>
      <w:r w:rsidR="00D7212A" w:rsidRPr="008A3C80">
        <w:rPr>
          <w:rFonts w:ascii="Times New Roman" w:hAnsi="Times New Roman"/>
          <w:color w:val="000000" w:themeColor="text1"/>
          <w:sz w:val="24"/>
          <w:szCs w:val="24"/>
        </w:rPr>
        <w:t xml:space="preserve"> ou 3%</w:t>
      </w:r>
      <w:r w:rsidR="00D707D5" w:rsidRPr="008A3C80">
        <w:rPr>
          <w:rFonts w:ascii="Times New Roman" w:hAnsi="Times New Roman"/>
          <w:color w:val="000000" w:themeColor="text1"/>
          <w:sz w:val="24"/>
          <w:szCs w:val="24"/>
        </w:rPr>
        <w:t>.</w:t>
      </w:r>
      <w:r w:rsidR="00D7212A" w:rsidRPr="008A3C80">
        <w:rPr>
          <w:rFonts w:ascii="Times New Roman" w:hAnsi="Times New Roman"/>
          <w:color w:val="000000" w:themeColor="text1"/>
          <w:sz w:val="24"/>
          <w:szCs w:val="24"/>
        </w:rPr>
        <w:t xml:space="preserve"> Entretanto, c</w:t>
      </w:r>
      <w:r w:rsidR="00D707D5" w:rsidRPr="008A3C80">
        <w:rPr>
          <w:rFonts w:ascii="Times New Roman" w:hAnsi="Times New Roman"/>
          <w:color w:val="000000" w:themeColor="text1"/>
          <w:sz w:val="24"/>
          <w:szCs w:val="24"/>
        </w:rPr>
        <w:t xml:space="preserve">asos ignorados </w:t>
      </w:r>
      <w:r w:rsidR="00CD1A60" w:rsidRPr="008A3C80">
        <w:rPr>
          <w:rFonts w:ascii="Times New Roman" w:hAnsi="Times New Roman"/>
          <w:color w:val="000000" w:themeColor="text1"/>
          <w:sz w:val="24"/>
          <w:szCs w:val="24"/>
        </w:rPr>
        <w:t xml:space="preserve">ou </w:t>
      </w:r>
      <w:r w:rsidR="00D707D5" w:rsidRPr="008A3C80">
        <w:rPr>
          <w:rFonts w:ascii="Times New Roman" w:hAnsi="Times New Roman"/>
          <w:color w:val="000000" w:themeColor="text1"/>
          <w:sz w:val="24"/>
          <w:szCs w:val="24"/>
        </w:rPr>
        <w:t xml:space="preserve">em branco </w:t>
      </w:r>
      <w:r w:rsidR="006C57E8" w:rsidRPr="008A3C80">
        <w:rPr>
          <w:rFonts w:ascii="Times New Roman" w:hAnsi="Times New Roman"/>
          <w:color w:val="000000" w:themeColor="text1"/>
          <w:sz w:val="24"/>
          <w:szCs w:val="24"/>
        </w:rPr>
        <w:t>totalizaram 950</w:t>
      </w:r>
      <w:r w:rsidR="00D7212A" w:rsidRPr="008A3C80">
        <w:rPr>
          <w:rFonts w:ascii="Times New Roman" w:hAnsi="Times New Roman"/>
          <w:color w:val="000000" w:themeColor="text1"/>
          <w:sz w:val="24"/>
          <w:szCs w:val="24"/>
        </w:rPr>
        <w:t xml:space="preserve"> ou 80%</w:t>
      </w:r>
      <w:r w:rsidR="006C57E8" w:rsidRPr="008A3C80">
        <w:rPr>
          <w:rFonts w:ascii="Times New Roman" w:hAnsi="Times New Roman"/>
          <w:color w:val="000000" w:themeColor="text1"/>
          <w:sz w:val="24"/>
          <w:szCs w:val="24"/>
        </w:rPr>
        <w:t xml:space="preserve">, principalmente nos anos de 2008 e 2011, com 581 e 295 casos, respectivamente, resultado provável de uma investigação inconclusiva </w:t>
      </w:r>
      <w:r w:rsidR="00A2566B" w:rsidRPr="008A3C80">
        <w:rPr>
          <w:rFonts w:ascii="Times New Roman" w:hAnsi="Times New Roman"/>
          <w:color w:val="000000" w:themeColor="text1"/>
          <w:sz w:val="24"/>
          <w:szCs w:val="24"/>
        </w:rPr>
        <w:t>da vigilância, perante esses</w:t>
      </w:r>
      <w:r w:rsidR="006C57E8" w:rsidRPr="008A3C80">
        <w:rPr>
          <w:rFonts w:ascii="Times New Roman" w:hAnsi="Times New Roman"/>
          <w:color w:val="000000" w:themeColor="text1"/>
          <w:sz w:val="24"/>
          <w:szCs w:val="24"/>
        </w:rPr>
        <w:t xml:space="preserve"> trabalhadores.</w:t>
      </w:r>
      <w:r w:rsidR="00D7212A" w:rsidRPr="008A3C80">
        <w:rPr>
          <w:rFonts w:ascii="Times New Roman" w:hAnsi="Times New Roman"/>
          <w:color w:val="000000" w:themeColor="text1"/>
          <w:sz w:val="24"/>
          <w:szCs w:val="24"/>
        </w:rPr>
        <w:t xml:space="preserve"> </w:t>
      </w:r>
    </w:p>
    <w:p w:rsidR="00C33C59" w:rsidRPr="008A3C80" w:rsidRDefault="00D7212A"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Foram emitidas a CAT (Comunicação de Acidente de Trabalho)</w:t>
      </w:r>
      <w:r w:rsidR="00FD00CE" w:rsidRPr="008A3C80">
        <w:rPr>
          <w:rFonts w:ascii="Times New Roman" w:hAnsi="Times New Roman"/>
          <w:color w:val="000000" w:themeColor="text1"/>
          <w:sz w:val="24"/>
          <w:szCs w:val="24"/>
        </w:rPr>
        <w:t xml:space="preserve"> em 1082 casos ou 91% das notificações com diagnóstico por asbestose</w:t>
      </w:r>
      <w:r w:rsidR="0038025B" w:rsidRPr="008A3C80">
        <w:rPr>
          <w:rFonts w:ascii="Times New Roman" w:hAnsi="Times New Roman"/>
          <w:color w:val="000000" w:themeColor="text1"/>
          <w:sz w:val="24"/>
          <w:szCs w:val="24"/>
        </w:rPr>
        <w:t>.</w:t>
      </w:r>
      <w:r w:rsidR="00FD5BF4" w:rsidRPr="008A3C80">
        <w:rPr>
          <w:rFonts w:ascii="Times New Roman" w:hAnsi="Times New Roman"/>
          <w:color w:val="000000" w:themeColor="text1"/>
          <w:sz w:val="24"/>
          <w:szCs w:val="24"/>
        </w:rPr>
        <w:t xml:space="preserve"> </w:t>
      </w:r>
      <w:r w:rsidR="0038025B" w:rsidRPr="008A3C80">
        <w:rPr>
          <w:rFonts w:ascii="Times New Roman" w:hAnsi="Times New Roman"/>
          <w:color w:val="000000" w:themeColor="text1"/>
          <w:sz w:val="24"/>
          <w:szCs w:val="24"/>
        </w:rPr>
        <w:t>E</w:t>
      </w:r>
      <w:r w:rsidR="00FD5BF4" w:rsidRPr="008A3C80">
        <w:rPr>
          <w:rFonts w:ascii="Times New Roman" w:hAnsi="Times New Roman"/>
          <w:color w:val="000000" w:themeColor="text1"/>
          <w:sz w:val="24"/>
          <w:szCs w:val="24"/>
        </w:rPr>
        <w:t xml:space="preserve"> </w:t>
      </w:r>
      <w:r w:rsidR="00B65A17" w:rsidRPr="008A3C80">
        <w:rPr>
          <w:rFonts w:ascii="Times New Roman" w:hAnsi="Times New Roman"/>
          <w:color w:val="000000" w:themeColor="text1"/>
          <w:sz w:val="24"/>
          <w:szCs w:val="24"/>
        </w:rPr>
        <w:t>como</w:t>
      </w:r>
      <w:r w:rsidR="00FD5BF4" w:rsidRPr="008A3C80">
        <w:rPr>
          <w:rFonts w:ascii="Times New Roman" w:hAnsi="Times New Roman"/>
          <w:color w:val="000000" w:themeColor="text1"/>
          <w:sz w:val="24"/>
          <w:szCs w:val="24"/>
        </w:rPr>
        <w:t xml:space="preserve"> </w:t>
      </w:r>
      <w:r w:rsidR="00FD5BF4" w:rsidRPr="008A3C80">
        <w:rPr>
          <w:rFonts w:ascii="Times New Roman" w:hAnsi="Times New Roman"/>
          <w:i/>
          <w:color w:val="000000" w:themeColor="text1"/>
          <w:sz w:val="24"/>
          <w:szCs w:val="24"/>
        </w:rPr>
        <w:t>conduta geral</w:t>
      </w:r>
      <w:r w:rsidR="00AB5BBD" w:rsidRPr="008A3C80">
        <w:rPr>
          <w:rFonts w:ascii="Times New Roman" w:hAnsi="Times New Roman"/>
          <w:i/>
          <w:color w:val="000000" w:themeColor="text1"/>
          <w:sz w:val="24"/>
          <w:szCs w:val="24"/>
        </w:rPr>
        <w:t>,</w:t>
      </w:r>
      <w:r w:rsidR="00FD5BF4" w:rsidRPr="008A3C80">
        <w:rPr>
          <w:rFonts w:ascii="Times New Roman" w:hAnsi="Times New Roman"/>
          <w:color w:val="000000" w:themeColor="text1"/>
          <w:sz w:val="24"/>
          <w:szCs w:val="24"/>
        </w:rPr>
        <w:t xml:space="preserve"> com o afastamento do agente do risco com mudança de posto de trabalho, </w:t>
      </w:r>
      <w:r w:rsidR="00711B98" w:rsidRPr="008A3C80">
        <w:rPr>
          <w:rFonts w:ascii="Times New Roman" w:hAnsi="Times New Roman"/>
          <w:color w:val="000000" w:themeColor="text1"/>
          <w:sz w:val="24"/>
          <w:szCs w:val="24"/>
        </w:rPr>
        <w:t xml:space="preserve">a </w:t>
      </w:r>
      <w:r w:rsidR="00FD5BF4" w:rsidRPr="008A3C80">
        <w:rPr>
          <w:rFonts w:ascii="Times New Roman" w:hAnsi="Times New Roman"/>
          <w:color w:val="000000" w:themeColor="text1"/>
          <w:sz w:val="24"/>
          <w:szCs w:val="24"/>
        </w:rPr>
        <w:t>mudança na organização do trabalho</w:t>
      </w:r>
      <w:r w:rsidR="006567AD" w:rsidRPr="008A3C80">
        <w:rPr>
          <w:rFonts w:ascii="Times New Roman" w:hAnsi="Times New Roman"/>
          <w:color w:val="000000" w:themeColor="text1"/>
          <w:sz w:val="24"/>
          <w:szCs w:val="24"/>
        </w:rPr>
        <w:t xml:space="preserve"> e</w:t>
      </w:r>
      <w:r w:rsidR="00FD5BF4" w:rsidRPr="008A3C80">
        <w:rPr>
          <w:rFonts w:ascii="Times New Roman" w:hAnsi="Times New Roman"/>
          <w:color w:val="000000" w:themeColor="text1"/>
          <w:sz w:val="24"/>
          <w:szCs w:val="24"/>
        </w:rPr>
        <w:t xml:space="preserve"> </w:t>
      </w:r>
      <w:r w:rsidR="00711B98" w:rsidRPr="008A3C80">
        <w:rPr>
          <w:rFonts w:ascii="Times New Roman" w:hAnsi="Times New Roman"/>
          <w:color w:val="000000" w:themeColor="text1"/>
          <w:sz w:val="24"/>
          <w:szCs w:val="24"/>
        </w:rPr>
        <w:t xml:space="preserve">a </w:t>
      </w:r>
      <w:r w:rsidR="00FD5BF4" w:rsidRPr="008A3C80">
        <w:rPr>
          <w:rFonts w:ascii="Times New Roman" w:hAnsi="Times New Roman"/>
          <w:color w:val="000000" w:themeColor="text1"/>
          <w:sz w:val="24"/>
          <w:szCs w:val="24"/>
        </w:rPr>
        <w:t>proteção coletiva ou individual</w:t>
      </w:r>
      <w:r w:rsidR="000E47D9" w:rsidRPr="008A3C80">
        <w:rPr>
          <w:rFonts w:ascii="Times New Roman" w:hAnsi="Times New Roman"/>
          <w:color w:val="000000" w:themeColor="text1"/>
          <w:sz w:val="24"/>
          <w:szCs w:val="24"/>
        </w:rPr>
        <w:t>,</w:t>
      </w:r>
      <w:r w:rsidR="00B65A17" w:rsidRPr="008A3C80">
        <w:rPr>
          <w:rFonts w:ascii="Times New Roman" w:hAnsi="Times New Roman"/>
          <w:color w:val="000000" w:themeColor="text1"/>
          <w:sz w:val="24"/>
          <w:szCs w:val="24"/>
        </w:rPr>
        <w:t xml:space="preserve"> </w:t>
      </w:r>
      <w:r w:rsidR="00711B98" w:rsidRPr="008A3C80">
        <w:rPr>
          <w:rFonts w:ascii="Times New Roman" w:hAnsi="Times New Roman"/>
          <w:color w:val="000000" w:themeColor="text1"/>
          <w:sz w:val="24"/>
          <w:szCs w:val="24"/>
        </w:rPr>
        <w:t>pouc</w:t>
      </w:r>
      <w:r w:rsidR="00AB5BBD" w:rsidRPr="008A3C80">
        <w:rPr>
          <w:rFonts w:ascii="Times New Roman" w:hAnsi="Times New Roman"/>
          <w:color w:val="000000" w:themeColor="text1"/>
          <w:sz w:val="24"/>
          <w:szCs w:val="24"/>
        </w:rPr>
        <w:t xml:space="preserve">as dessas medidas foram </w:t>
      </w:r>
      <w:r w:rsidR="006567AD" w:rsidRPr="008A3C80">
        <w:rPr>
          <w:rFonts w:ascii="Times New Roman" w:hAnsi="Times New Roman"/>
          <w:color w:val="000000" w:themeColor="text1"/>
          <w:sz w:val="24"/>
          <w:szCs w:val="24"/>
        </w:rPr>
        <w:t>adotada</w:t>
      </w:r>
      <w:r w:rsidR="007C4C87" w:rsidRPr="008A3C80">
        <w:rPr>
          <w:rFonts w:ascii="Times New Roman" w:hAnsi="Times New Roman"/>
          <w:color w:val="000000" w:themeColor="text1"/>
          <w:sz w:val="24"/>
          <w:szCs w:val="24"/>
        </w:rPr>
        <w:t>s</w:t>
      </w:r>
      <w:r w:rsidR="006567AD" w:rsidRPr="008A3C80">
        <w:rPr>
          <w:rFonts w:ascii="Times New Roman" w:hAnsi="Times New Roman"/>
          <w:color w:val="000000" w:themeColor="text1"/>
          <w:sz w:val="24"/>
          <w:szCs w:val="24"/>
        </w:rPr>
        <w:t xml:space="preserve"> nas situações notificadas, </w:t>
      </w:r>
      <w:r w:rsidR="00AB5BBD" w:rsidRPr="008A3C80">
        <w:rPr>
          <w:rFonts w:ascii="Times New Roman" w:hAnsi="Times New Roman"/>
          <w:color w:val="000000" w:themeColor="text1"/>
          <w:sz w:val="24"/>
          <w:szCs w:val="24"/>
        </w:rPr>
        <w:t>com</w:t>
      </w:r>
      <w:r w:rsidR="006567AD" w:rsidRPr="008A3C80">
        <w:rPr>
          <w:rFonts w:ascii="Times New Roman" w:hAnsi="Times New Roman"/>
          <w:color w:val="000000" w:themeColor="text1"/>
          <w:sz w:val="24"/>
          <w:szCs w:val="24"/>
        </w:rPr>
        <w:t xml:space="preserve"> </w:t>
      </w:r>
      <w:r w:rsidR="000E47D9" w:rsidRPr="008A3C80">
        <w:rPr>
          <w:rFonts w:ascii="Times New Roman" w:hAnsi="Times New Roman"/>
          <w:color w:val="000000" w:themeColor="text1"/>
          <w:sz w:val="24"/>
          <w:szCs w:val="24"/>
        </w:rPr>
        <w:t xml:space="preserve">a escolha de </w:t>
      </w:r>
      <w:r w:rsidR="006567AD" w:rsidRPr="008A3C80">
        <w:rPr>
          <w:rFonts w:ascii="Times New Roman" w:hAnsi="Times New Roman"/>
          <w:color w:val="000000" w:themeColor="text1"/>
          <w:sz w:val="24"/>
          <w:szCs w:val="24"/>
        </w:rPr>
        <w:t>outras condutas, porém, não especificada</w:t>
      </w:r>
      <w:r w:rsidR="00B240CE" w:rsidRPr="008A3C80">
        <w:rPr>
          <w:rFonts w:ascii="Times New Roman" w:hAnsi="Times New Roman"/>
          <w:color w:val="000000" w:themeColor="text1"/>
          <w:sz w:val="24"/>
          <w:szCs w:val="24"/>
        </w:rPr>
        <w:t>s</w:t>
      </w:r>
      <w:r w:rsidR="006567AD" w:rsidRPr="008A3C80">
        <w:rPr>
          <w:rFonts w:ascii="Times New Roman" w:hAnsi="Times New Roman"/>
          <w:color w:val="000000" w:themeColor="text1"/>
          <w:sz w:val="24"/>
          <w:szCs w:val="24"/>
        </w:rPr>
        <w:t xml:space="preserve">, ou </w:t>
      </w:r>
      <w:r w:rsidR="00AB5BBD" w:rsidRPr="008A3C80">
        <w:rPr>
          <w:rFonts w:ascii="Times New Roman" w:hAnsi="Times New Roman"/>
          <w:color w:val="000000" w:themeColor="text1"/>
          <w:sz w:val="24"/>
          <w:szCs w:val="24"/>
        </w:rPr>
        <w:t xml:space="preserve">mesmo </w:t>
      </w:r>
      <w:r w:rsidR="006567AD" w:rsidRPr="008A3C80">
        <w:rPr>
          <w:rFonts w:ascii="Times New Roman" w:hAnsi="Times New Roman"/>
          <w:color w:val="000000" w:themeColor="text1"/>
          <w:sz w:val="24"/>
          <w:szCs w:val="24"/>
        </w:rPr>
        <w:t xml:space="preserve">nenhuma conduta </w:t>
      </w:r>
      <w:r w:rsidR="00AB5BBD" w:rsidRPr="008A3C80">
        <w:rPr>
          <w:rFonts w:ascii="Times New Roman" w:hAnsi="Times New Roman"/>
          <w:color w:val="000000" w:themeColor="text1"/>
          <w:sz w:val="24"/>
          <w:szCs w:val="24"/>
        </w:rPr>
        <w:t>admitida</w:t>
      </w:r>
      <w:r w:rsidR="00980FF4" w:rsidRPr="008A3C80">
        <w:rPr>
          <w:rFonts w:ascii="Times New Roman" w:hAnsi="Times New Roman"/>
          <w:color w:val="000000" w:themeColor="text1"/>
          <w:sz w:val="24"/>
          <w:szCs w:val="24"/>
        </w:rPr>
        <w:t xml:space="preserve"> (</w:t>
      </w:r>
      <w:r w:rsidR="006567AD" w:rsidRPr="008A3C80">
        <w:rPr>
          <w:rFonts w:ascii="Times New Roman" w:hAnsi="Times New Roman"/>
          <w:color w:val="000000" w:themeColor="text1"/>
          <w:sz w:val="24"/>
          <w:szCs w:val="24"/>
        </w:rPr>
        <w:t>Tabela 6</w:t>
      </w:r>
      <w:r w:rsidR="00980FF4" w:rsidRPr="008A3C80">
        <w:rPr>
          <w:rFonts w:ascii="Times New Roman" w:hAnsi="Times New Roman"/>
          <w:color w:val="000000" w:themeColor="text1"/>
          <w:sz w:val="24"/>
          <w:szCs w:val="24"/>
        </w:rPr>
        <w:t>).</w:t>
      </w:r>
      <w:r w:rsidR="00C33C59" w:rsidRPr="008A3C80">
        <w:rPr>
          <w:rFonts w:ascii="Times New Roman" w:hAnsi="Times New Roman"/>
          <w:color w:val="000000" w:themeColor="text1"/>
          <w:sz w:val="24"/>
          <w:szCs w:val="24"/>
        </w:rPr>
        <w:t xml:space="preserve"> </w:t>
      </w:r>
    </w:p>
    <w:p w:rsidR="00C33C59" w:rsidRPr="008A3C80" w:rsidRDefault="00C33C59" w:rsidP="00C33C59">
      <w:pPr>
        <w:autoSpaceDE w:val="0"/>
        <w:autoSpaceDN w:val="0"/>
        <w:adjustRightInd w:val="0"/>
        <w:spacing w:after="0" w:line="240" w:lineRule="auto"/>
        <w:rPr>
          <w:rFonts w:ascii="Times New Roman" w:hAnsi="Times New Roman"/>
          <w:color w:val="000000" w:themeColor="text1"/>
          <w:sz w:val="24"/>
          <w:szCs w:val="24"/>
        </w:rPr>
      </w:pPr>
    </w:p>
    <w:p w:rsidR="00E12F03" w:rsidRDefault="00DA3608" w:rsidP="00E12F03">
      <w:pPr>
        <w:autoSpaceDE w:val="0"/>
        <w:autoSpaceDN w:val="0"/>
        <w:adjustRightInd w:val="0"/>
        <w:spacing w:line="480" w:lineRule="auto"/>
        <w:jc w:val="both"/>
        <w:rPr>
          <w:rFonts w:ascii="Times New Roman" w:hAnsi="Times New Roman"/>
          <w:color w:val="000000" w:themeColor="text1"/>
          <w:sz w:val="24"/>
          <w:szCs w:val="24"/>
        </w:rPr>
      </w:pPr>
      <w:r w:rsidRPr="00C4368A">
        <w:rPr>
          <w:rFonts w:ascii="Times New Roman" w:hAnsi="Times New Roman"/>
          <w:b/>
          <w:color w:val="000000" w:themeColor="text1"/>
          <w:sz w:val="24"/>
          <w:szCs w:val="24"/>
        </w:rPr>
        <w:t>Tabela 6</w:t>
      </w:r>
      <w:r w:rsidR="00E12F03" w:rsidRPr="008A3C80">
        <w:rPr>
          <w:rFonts w:ascii="Times New Roman" w:hAnsi="Times New Roman"/>
          <w:color w:val="000000" w:themeColor="text1"/>
          <w:sz w:val="24"/>
          <w:szCs w:val="24"/>
        </w:rPr>
        <w:t xml:space="preserve">: Número (N) de casos de asbestose em trabalhadores, segundo a </w:t>
      </w:r>
      <w:r w:rsidR="007D22EF" w:rsidRPr="008A3C80">
        <w:rPr>
          <w:rFonts w:ascii="Times New Roman" w:hAnsi="Times New Roman"/>
          <w:color w:val="000000" w:themeColor="text1"/>
          <w:sz w:val="24"/>
          <w:szCs w:val="24"/>
        </w:rPr>
        <w:t xml:space="preserve">conduta geral </w:t>
      </w:r>
      <w:r w:rsidR="00E12F03" w:rsidRPr="008A3C80">
        <w:rPr>
          <w:rFonts w:ascii="Times New Roman" w:hAnsi="Times New Roman"/>
          <w:color w:val="000000" w:themeColor="text1"/>
          <w:sz w:val="24"/>
          <w:szCs w:val="24"/>
        </w:rPr>
        <w:t>e ano de notificação – Brasil, de 2007 a 2013</w:t>
      </w:r>
      <w:r w:rsidR="00C4368A">
        <w:rPr>
          <w:rFonts w:ascii="Times New Roman" w:hAnsi="Times New Roman"/>
          <w:color w:val="000000" w:themeColor="text1"/>
          <w:sz w:val="24"/>
          <w:szCs w:val="24"/>
        </w:rPr>
        <w:t>.</w:t>
      </w:r>
    </w:p>
    <w:p w:rsidR="00B73491" w:rsidRDefault="00B73491" w:rsidP="00E12F03">
      <w:pPr>
        <w:autoSpaceDE w:val="0"/>
        <w:autoSpaceDN w:val="0"/>
        <w:adjustRightInd w:val="0"/>
        <w:spacing w:line="480" w:lineRule="auto"/>
        <w:jc w:val="both"/>
        <w:rPr>
          <w:rFonts w:ascii="Times New Roman" w:hAnsi="Times New Roman"/>
          <w:color w:val="000000" w:themeColor="text1"/>
          <w:sz w:val="24"/>
          <w:szCs w:val="24"/>
        </w:rPr>
      </w:pPr>
    </w:p>
    <w:p w:rsidR="00B73491" w:rsidRDefault="00B73491" w:rsidP="00E12F03">
      <w:pPr>
        <w:autoSpaceDE w:val="0"/>
        <w:autoSpaceDN w:val="0"/>
        <w:adjustRightInd w:val="0"/>
        <w:spacing w:line="480" w:lineRule="auto"/>
        <w:jc w:val="both"/>
        <w:rPr>
          <w:rFonts w:ascii="Times New Roman" w:hAnsi="Times New Roman"/>
          <w:color w:val="000000" w:themeColor="text1"/>
          <w:sz w:val="24"/>
          <w:szCs w:val="24"/>
        </w:rPr>
      </w:pPr>
    </w:p>
    <w:p w:rsidR="00B73491" w:rsidRDefault="00B73491" w:rsidP="00E12F03">
      <w:pPr>
        <w:autoSpaceDE w:val="0"/>
        <w:autoSpaceDN w:val="0"/>
        <w:adjustRightInd w:val="0"/>
        <w:spacing w:line="480" w:lineRule="auto"/>
        <w:jc w:val="both"/>
        <w:rPr>
          <w:rFonts w:ascii="Times New Roman" w:hAnsi="Times New Roman"/>
          <w:color w:val="000000" w:themeColor="text1"/>
          <w:sz w:val="24"/>
          <w:szCs w:val="24"/>
        </w:rPr>
      </w:pPr>
    </w:p>
    <w:p w:rsidR="00B73491" w:rsidRDefault="00B73491" w:rsidP="00E12F03">
      <w:pPr>
        <w:autoSpaceDE w:val="0"/>
        <w:autoSpaceDN w:val="0"/>
        <w:adjustRightInd w:val="0"/>
        <w:spacing w:line="480" w:lineRule="auto"/>
        <w:jc w:val="both"/>
        <w:rPr>
          <w:rFonts w:ascii="Times New Roman" w:hAnsi="Times New Roman"/>
          <w:color w:val="000000" w:themeColor="text1"/>
          <w:sz w:val="24"/>
          <w:szCs w:val="24"/>
        </w:rPr>
      </w:pPr>
    </w:p>
    <w:p w:rsidR="00B73491" w:rsidRPr="008A3C80" w:rsidRDefault="00B73491" w:rsidP="00E12F03">
      <w:pPr>
        <w:autoSpaceDE w:val="0"/>
        <w:autoSpaceDN w:val="0"/>
        <w:adjustRightInd w:val="0"/>
        <w:spacing w:line="480" w:lineRule="auto"/>
        <w:jc w:val="both"/>
        <w:rPr>
          <w:rFonts w:ascii="Times New Roman" w:hAnsi="Times New Roman"/>
          <w:color w:val="000000" w:themeColor="text1"/>
          <w:sz w:val="24"/>
          <w:szCs w:val="24"/>
        </w:rPr>
      </w:pPr>
    </w:p>
    <w:tbl>
      <w:tblPr>
        <w:tblW w:w="8589" w:type="dxa"/>
        <w:tblInd w:w="55" w:type="dxa"/>
        <w:tblCellMar>
          <w:left w:w="70" w:type="dxa"/>
          <w:right w:w="70" w:type="dxa"/>
        </w:tblCellMar>
        <w:tblLook w:val="04A0" w:firstRow="1" w:lastRow="0" w:firstColumn="1" w:lastColumn="0" w:noHBand="0" w:noVBand="1"/>
      </w:tblPr>
      <w:tblGrid>
        <w:gridCol w:w="440"/>
        <w:gridCol w:w="1988"/>
        <w:gridCol w:w="1273"/>
        <w:gridCol w:w="621"/>
        <w:gridCol w:w="587"/>
        <w:gridCol w:w="587"/>
        <w:gridCol w:w="587"/>
        <w:gridCol w:w="683"/>
        <w:gridCol w:w="587"/>
        <w:gridCol w:w="587"/>
        <w:gridCol w:w="649"/>
      </w:tblGrid>
      <w:tr w:rsidR="00481F89" w:rsidRPr="008A3C80" w:rsidTr="002F29E0">
        <w:trPr>
          <w:trHeight w:val="300"/>
        </w:trPr>
        <w:tc>
          <w:tcPr>
            <w:tcW w:w="440"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lastRenderedPageBreak/>
              <w:t> </w:t>
            </w:r>
          </w:p>
        </w:tc>
        <w:tc>
          <w:tcPr>
            <w:tcW w:w="1988"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
        </w:tc>
        <w:tc>
          <w:tcPr>
            <w:tcW w:w="127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
        </w:tc>
        <w:tc>
          <w:tcPr>
            <w:tcW w:w="621"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2007</w:t>
            </w:r>
          </w:p>
        </w:tc>
        <w:tc>
          <w:tcPr>
            <w:tcW w:w="587"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2008</w:t>
            </w:r>
          </w:p>
        </w:tc>
        <w:tc>
          <w:tcPr>
            <w:tcW w:w="587"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2009</w:t>
            </w:r>
          </w:p>
        </w:tc>
        <w:tc>
          <w:tcPr>
            <w:tcW w:w="587"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2010</w:t>
            </w:r>
          </w:p>
        </w:tc>
        <w:tc>
          <w:tcPr>
            <w:tcW w:w="683"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2011</w:t>
            </w:r>
          </w:p>
        </w:tc>
        <w:tc>
          <w:tcPr>
            <w:tcW w:w="587"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2012</w:t>
            </w:r>
          </w:p>
        </w:tc>
        <w:tc>
          <w:tcPr>
            <w:tcW w:w="587"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2013</w:t>
            </w:r>
          </w:p>
        </w:tc>
        <w:tc>
          <w:tcPr>
            <w:tcW w:w="649" w:type="dxa"/>
            <w:tcBorders>
              <w:top w:val="single" w:sz="4" w:space="0" w:color="auto"/>
              <w:left w:val="nil"/>
              <w:bottom w:val="single" w:sz="4" w:space="0" w:color="auto"/>
              <w:right w:val="nil"/>
            </w:tcBorders>
            <w:shd w:val="clear" w:color="000000" w:fill="D9D9D9"/>
            <w:noWrap/>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Total</w:t>
            </w:r>
          </w:p>
        </w:tc>
      </w:tr>
      <w:tr w:rsidR="00481F89" w:rsidRPr="008A3C80" w:rsidTr="002F29E0">
        <w:trPr>
          <w:trHeight w:val="387"/>
        </w:trPr>
        <w:tc>
          <w:tcPr>
            <w:tcW w:w="440" w:type="dxa"/>
            <w:vMerge w:val="restart"/>
            <w:tcBorders>
              <w:top w:val="nil"/>
              <w:left w:val="nil"/>
              <w:bottom w:val="single" w:sz="4" w:space="0" w:color="000000"/>
              <w:right w:val="nil"/>
            </w:tcBorders>
            <w:shd w:val="clear" w:color="000000" w:fill="D9D9D9"/>
            <w:noWrap/>
            <w:textDirection w:val="btLr"/>
            <w:vAlign w:val="center"/>
            <w:hideMark/>
          </w:tcPr>
          <w:p w:rsidR="00481F89" w:rsidRPr="008A3C80" w:rsidRDefault="00481F89" w:rsidP="00481F89">
            <w:pPr>
              <w:spacing w:after="0" w:line="240" w:lineRule="auto"/>
              <w:ind w:left="-70" w:firstLine="70"/>
              <w:jc w:val="center"/>
              <w:rPr>
                <w:rFonts w:ascii="Times New Roman" w:hAnsi="Times New Roman"/>
                <w:b/>
                <w:bCs/>
                <w:color w:val="000000"/>
                <w:sz w:val="24"/>
                <w:lang w:eastAsia="pt-BR"/>
              </w:rPr>
            </w:pPr>
            <w:r w:rsidRPr="008A3C80">
              <w:rPr>
                <w:rFonts w:ascii="Times New Roman" w:hAnsi="Times New Roman"/>
                <w:b/>
                <w:bCs/>
                <w:color w:val="000000"/>
                <w:sz w:val="24"/>
                <w:lang w:eastAsia="pt-BR"/>
              </w:rPr>
              <w:t>Conduta Geral</w:t>
            </w:r>
          </w:p>
        </w:tc>
        <w:tc>
          <w:tcPr>
            <w:tcW w:w="1988" w:type="dxa"/>
            <w:vMerge w:val="restart"/>
            <w:tcBorders>
              <w:top w:val="single" w:sz="4" w:space="0" w:color="auto"/>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Afastamento do agente do risco com mudança de função e/ou posto de trabalho</w:t>
            </w:r>
          </w:p>
        </w:tc>
        <w:tc>
          <w:tcPr>
            <w:tcW w:w="1273" w:type="dxa"/>
            <w:tcBorders>
              <w:top w:val="single" w:sz="4" w:space="0" w:color="auto"/>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621"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619</w:t>
            </w:r>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28</w:t>
            </w:r>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35</w:t>
            </w:r>
          </w:p>
        </w:tc>
        <w:tc>
          <w:tcPr>
            <w:tcW w:w="683"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25</w:t>
            </w:r>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94</w:t>
            </w:r>
          </w:p>
        </w:tc>
        <w:tc>
          <w:tcPr>
            <w:tcW w:w="649"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809</w:t>
            </w:r>
          </w:p>
        </w:tc>
      </w:tr>
      <w:tr w:rsidR="00481F89" w:rsidRPr="008A3C80" w:rsidTr="002F29E0">
        <w:trPr>
          <w:trHeight w:val="422"/>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649"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9</w:t>
            </w:r>
            <w:proofErr w:type="gramEnd"/>
          </w:p>
        </w:tc>
      </w:tr>
      <w:tr w:rsidR="00481F89" w:rsidRPr="008A3C80" w:rsidTr="002F29E0">
        <w:trPr>
          <w:trHeight w:val="427"/>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single" w:sz="4" w:space="0" w:color="auto"/>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16</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13</w:t>
            </w:r>
          </w:p>
        </w:tc>
        <w:tc>
          <w:tcPr>
            <w:tcW w:w="683"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320</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8</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9</w:t>
            </w:r>
            <w:proofErr w:type="gramEnd"/>
          </w:p>
        </w:tc>
        <w:tc>
          <w:tcPr>
            <w:tcW w:w="649"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374</w:t>
            </w:r>
          </w:p>
        </w:tc>
      </w:tr>
      <w:tr w:rsidR="00481F89" w:rsidRPr="008A3C80" w:rsidTr="002F29E0">
        <w:trPr>
          <w:trHeight w:val="391"/>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6567AD"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Adoção</w:t>
            </w:r>
            <w:r w:rsidR="00481F89" w:rsidRPr="008A3C80">
              <w:rPr>
                <w:rFonts w:ascii="Times New Roman" w:hAnsi="Times New Roman"/>
                <w:color w:val="000000"/>
                <w:sz w:val="24"/>
                <w:lang w:eastAsia="pt-BR"/>
              </w:rPr>
              <w:t xml:space="preserve"> de mudança na organização do trabalho</w:t>
            </w:r>
          </w:p>
        </w:tc>
        <w:tc>
          <w:tcPr>
            <w:tcW w:w="1273" w:type="dxa"/>
            <w:tcBorders>
              <w:top w:val="nil"/>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621"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619</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28</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35</w:t>
            </w:r>
          </w:p>
        </w:tc>
        <w:tc>
          <w:tcPr>
            <w:tcW w:w="683"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25</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98</w:t>
            </w:r>
          </w:p>
        </w:tc>
        <w:tc>
          <w:tcPr>
            <w:tcW w:w="649"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813</w:t>
            </w:r>
          </w:p>
        </w:tc>
      </w:tr>
      <w:tr w:rsidR="00481F89" w:rsidRPr="008A3C80" w:rsidTr="002F29E0">
        <w:trPr>
          <w:trHeight w:val="425"/>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649"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r>
      <w:tr w:rsidR="00481F89" w:rsidRPr="008A3C80" w:rsidTr="002F29E0">
        <w:trPr>
          <w:trHeight w:val="432"/>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single" w:sz="4" w:space="0" w:color="auto"/>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19</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13</w:t>
            </w:r>
          </w:p>
        </w:tc>
        <w:tc>
          <w:tcPr>
            <w:tcW w:w="683"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321</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10</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6</w:t>
            </w:r>
            <w:proofErr w:type="gramEnd"/>
          </w:p>
        </w:tc>
        <w:tc>
          <w:tcPr>
            <w:tcW w:w="649"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377</w:t>
            </w:r>
          </w:p>
        </w:tc>
      </w:tr>
      <w:tr w:rsidR="00481F89" w:rsidRPr="008A3C80" w:rsidTr="002F29E0">
        <w:trPr>
          <w:trHeight w:val="396"/>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Adoção de proteção coletiva</w:t>
            </w:r>
          </w:p>
        </w:tc>
        <w:tc>
          <w:tcPr>
            <w:tcW w:w="1273" w:type="dxa"/>
            <w:tcBorders>
              <w:top w:val="nil"/>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621"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619</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28</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40</w:t>
            </w:r>
          </w:p>
        </w:tc>
        <w:tc>
          <w:tcPr>
            <w:tcW w:w="683"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25</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98</w:t>
            </w:r>
          </w:p>
        </w:tc>
        <w:tc>
          <w:tcPr>
            <w:tcW w:w="649"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818</w:t>
            </w:r>
          </w:p>
        </w:tc>
      </w:tr>
      <w:tr w:rsidR="00481F89" w:rsidRPr="008A3C80" w:rsidTr="002F29E0">
        <w:trPr>
          <w:trHeight w:val="415"/>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649"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r>
      <w:tr w:rsidR="00481F89" w:rsidRPr="008A3C80" w:rsidTr="002F29E0">
        <w:trPr>
          <w:trHeight w:val="407"/>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single" w:sz="4" w:space="0" w:color="auto"/>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19</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683"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321</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10</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6</w:t>
            </w:r>
            <w:proofErr w:type="gramEnd"/>
          </w:p>
        </w:tc>
        <w:tc>
          <w:tcPr>
            <w:tcW w:w="649"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371</w:t>
            </w:r>
          </w:p>
        </w:tc>
      </w:tr>
      <w:tr w:rsidR="00481F89" w:rsidRPr="008A3C80" w:rsidTr="002F29E0">
        <w:trPr>
          <w:trHeight w:val="364"/>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Afastamento do local de trabalho</w:t>
            </w:r>
          </w:p>
        </w:tc>
        <w:tc>
          <w:tcPr>
            <w:tcW w:w="1273" w:type="dxa"/>
            <w:tcBorders>
              <w:top w:val="nil"/>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621"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619</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28</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41</w:t>
            </w:r>
          </w:p>
        </w:tc>
        <w:tc>
          <w:tcPr>
            <w:tcW w:w="683"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25</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6</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94</w:t>
            </w:r>
          </w:p>
        </w:tc>
        <w:tc>
          <w:tcPr>
            <w:tcW w:w="649"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814</w:t>
            </w:r>
          </w:p>
        </w:tc>
      </w:tr>
      <w:tr w:rsidR="00481F89" w:rsidRPr="008A3C80" w:rsidTr="002F29E0">
        <w:trPr>
          <w:trHeight w:val="473"/>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42</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4</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649"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57</w:t>
            </w:r>
          </w:p>
        </w:tc>
      </w:tr>
      <w:tr w:rsidR="00481F89" w:rsidRPr="008A3C80" w:rsidTr="002F29E0">
        <w:trPr>
          <w:trHeight w:val="449"/>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single" w:sz="4" w:space="0" w:color="auto"/>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6</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12</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8</w:t>
            </w:r>
            <w:proofErr w:type="gramEnd"/>
          </w:p>
        </w:tc>
        <w:tc>
          <w:tcPr>
            <w:tcW w:w="683"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279</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8</w:t>
            </w:r>
            <w:proofErr w:type="gramEnd"/>
          </w:p>
        </w:tc>
        <w:tc>
          <w:tcPr>
            <w:tcW w:w="649"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321</w:t>
            </w:r>
          </w:p>
        </w:tc>
      </w:tr>
      <w:tr w:rsidR="00481F89" w:rsidRPr="008A3C80" w:rsidTr="002F29E0">
        <w:trPr>
          <w:trHeight w:val="386"/>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Adoção de proteção individual</w:t>
            </w:r>
          </w:p>
        </w:tc>
        <w:tc>
          <w:tcPr>
            <w:tcW w:w="1273" w:type="dxa"/>
            <w:tcBorders>
              <w:top w:val="nil"/>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621"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619</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28</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35</w:t>
            </w:r>
          </w:p>
        </w:tc>
        <w:tc>
          <w:tcPr>
            <w:tcW w:w="683"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25</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98</w:t>
            </w:r>
          </w:p>
        </w:tc>
        <w:tc>
          <w:tcPr>
            <w:tcW w:w="649"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813</w:t>
            </w:r>
          </w:p>
        </w:tc>
      </w:tr>
      <w:tr w:rsidR="00481F89" w:rsidRPr="008A3C80" w:rsidTr="002F29E0">
        <w:trPr>
          <w:trHeight w:val="420"/>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649"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4</w:t>
            </w:r>
            <w:proofErr w:type="gramEnd"/>
          </w:p>
        </w:tc>
      </w:tr>
      <w:tr w:rsidR="00481F89" w:rsidRPr="008A3C80" w:rsidTr="002F29E0">
        <w:trPr>
          <w:trHeight w:val="412"/>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single" w:sz="4" w:space="0" w:color="auto"/>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7</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1</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19</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13</w:t>
            </w:r>
          </w:p>
        </w:tc>
        <w:tc>
          <w:tcPr>
            <w:tcW w:w="683"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319</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10</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6</w:t>
            </w:r>
            <w:proofErr w:type="gramEnd"/>
          </w:p>
        </w:tc>
        <w:tc>
          <w:tcPr>
            <w:tcW w:w="649"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375</w:t>
            </w:r>
          </w:p>
        </w:tc>
      </w:tr>
      <w:tr w:rsidR="00481F89" w:rsidRPr="008A3C80" w:rsidTr="002F29E0">
        <w:trPr>
          <w:trHeight w:val="418"/>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Nenhum</w:t>
            </w:r>
          </w:p>
        </w:tc>
        <w:tc>
          <w:tcPr>
            <w:tcW w:w="1273" w:type="dxa"/>
            <w:tcBorders>
              <w:top w:val="nil"/>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spellStart"/>
            <w:r w:rsidRPr="008A3C80">
              <w:rPr>
                <w:rFonts w:ascii="Times New Roman" w:hAnsi="Times New Roman"/>
                <w:sz w:val="24"/>
                <w:lang w:eastAsia="pt-BR"/>
              </w:rPr>
              <w:t>Ign</w:t>
            </w:r>
            <w:proofErr w:type="spellEnd"/>
            <w:r w:rsidRPr="008A3C80">
              <w:rPr>
                <w:rFonts w:ascii="Times New Roman" w:hAnsi="Times New Roman"/>
                <w:sz w:val="24"/>
                <w:lang w:eastAsia="pt-BR"/>
              </w:rPr>
              <w:t>/Branco</w:t>
            </w:r>
          </w:p>
        </w:tc>
        <w:tc>
          <w:tcPr>
            <w:tcW w:w="621"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617</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26</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34</w:t>
            </w:r>
          </w:p>
        </w:tc>
        <w:tc>
          <w:tcPr>
            <w:tcW w:w="683"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24</w:t>
            </w:r>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8</w:t>
            </w:r>
            <w:proofErr w:type="gramEnd"/>
          </w:p>
        </w:tc>
        <w:tc>
          <w:tcPr>
            <w:tcW w:w="587"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99</w:t>
            </w:r>
          </w:p>
        </w:tc>
        <w:tc>
          <w:tcPr>
            <w:tcW w:w="649" w:type="dxa"/>
            <w:tcBorders>
              <w:top w:val="nil"/>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810</w:t>
            </w:r>
          </w:p>
        </w:tc>
      </w:tr>
      <w:tr w:rsidR="00481F89" w:rsidRPr="008A3C80" w:rsidTr="002F29E0">
        <w:trPr>
          <w:trHeight w:val="409"/>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FFFFFF" w:themeFill="background1"/>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4</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9</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11</w:t>
            </w:r>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273</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649" w:type="dxa"/>
            <w:tcBorders>
              <w:top w:val="nil"/>
              <w:left w:val="nil"/>
              <w:bottom w:val="nil"/>
              <w:right w:val="nil"/>
            </w:tcBorders>
            <w:shd w:val="clear" w:color="auto" w:fill="FFFFFF" w:themeFill="background1"/>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302</w:t>
            </w:r>
          </w:p>
        </w:tc>
      </w:tr>
      <w:tr w:rsidR="00481F89" w:rsidRPr="008A3C80" w:rsidTr="002F29E0">
        <w:trPr>
          <w:trHeight w:val="300"/>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12</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4</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49</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9</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c>
          <w:tcPr>
            <w:tcW w:w="649"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80</w:t>
            </w:r>
          </w:p>
        </w:tc>
      </w:tr>
      <w:tr w:rsidR="00481F89" w:rsidRPr="008A3C80" w:rsidTr="002F29E0">
        <w:trPr>
          <w:trHeight w:val="392"/>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val="restart"/>
            <w:tcBorders>
              <w:top w:val="nil"/>
              <w:left w:val="single" w:sz="4" w:space="0" w:color="auto"/>
              <w:bottom w:val="single" w:sz="4" w:space="0" w:color="000000"/>
              <w:right w:val="single" w:sz="4" w:space="0" w:color="auto"/>
            </w:tcBorders>
            <w:shd w:val="clear" w:color="000000" w:fill="F2F2F2"/>
            <w:textDirection w:val="btLr"/>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Outros</w:t>
            </w:r>
          </w:p>
        </w:tc>
        <w:tc>
          <w:tcPr>
            <w:tcW w:w="1273" w:type="dxa"/>
            <w:tcBorders>
              <w:top w:val="single" w:sz="4" w:space="0" w:color="auto"/>
              <w:left w:val="nil"/>
              <w:bottom w:val="nil"/>
              <w:right w:val="single" w:sz="4" w:space="0" w:color="auto"/>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roofErr w:type="spellStart"/>
            <w:r w:rsidRPr="008A3C80">
              <w:rPr>
                <w:rFonts w:ascii="Times New Roman" w:hAnsi="Times New Roman"/>
                <w:color w:val="000000"/>
                <w:sz w:val="24"/>
                <w:lang w:eastAsia="pt-BR"/>
              </w:rPr>
              <w:t>Ign</w:t>
            </w:r>
            <w:proofErr w:type="spellEnd"/>
            <w:r w:rsidRPr="008A3C80">
              <w:rPr>
                <w:rFonts w:ascii="Times New Roman" w:hAnsi="Times New Roman"/>
                <w:color w:val="000000"/>
                <w:sz w:val="24"/>
                <w:lang w:eastAsia="pt-BR"/>
              </w:rPr>
              <w:t>/Branco</w:t>
            </w:r>
          </w:p>
        </w:tc>
        <w:tc>
          <w:tcPr>
            <w:tcW w:w="621"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0</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4</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3</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41</w:t>
            </w:r>
          </w:p>
        </w:tc>
        <w:tc>
          <w:tcPr>
            <w:tcW w:w="683"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8</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proofErr w:type="gramStart"/>
            <w:r w:rsidRPr="008A3C80">
              <w:rPr>
                <w:rFonts w:ascii="Times New Roman" w:hAnsi="Times New Roman"/>
                <w:color w:val="000000"/>
                <w:sz w:val="24"/>
                <w:lang w:eastAsia="pt-BR"/>
              </w:rPr>
              <w:t>8</w:t>
            </w:r>
            <w:proofErr w:type="gramEnd"/>
          </w:p>
        </w:tc>
        <w:tc>
          <w:tcPr>
            <w:tcW w:w="587"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11</w:t>
            </w:r>
          </w:p>
        </w:tc>
        <w:tc>
          <w:tcPr>
            <w:tcW w:w="649" w:type="dxa"/>
            <w:tcBorders>
              <w:top w:val="single" w:sz="4" w:space="0" w:color="auto"/>
              <w:left w:val="nil"/>
              <w:bottom w:val="nil"/>
              <w:right w:val="nil"/>
            </w:tcBorders>
            <w:shd w:val="clear" w:color="000000" w:fill="F2F2F2"/>
            <w:noWrap/>
            <w:vAlign w:val="center"/>
            <w:hideMark/>
          </w:tcPr>
          <w:p w:rsidR="00481F89" w:rsidRPr="008A3C80" w:rsidRDefault="00481F89" w:rsidP="00481F89">
            <w:pPr>
              <w:spacing w:after="0" w:line="240" w:lineRule="auto"/>
              <w:ind w:left="-70" w:firstLine="70"/>
              <w:jc w:val="center"/>
              <w:rPr>
                <w:rFonts w:ascii="Times New Roman" w:hAnsi="Times New Roman"/>
                <w:color w:val="000000"/>
                <w:sz w:val="24"/>
                <w:lang w:eastAsia="pt-BR"/>
              </w:rPr>
            </w:pPr>
            <w:r w:rsidRPr="008A3C80">
              <w:rPr>
                <w:rFonts w:ascii="Times New Roman" w:hAnsi="Times New Roman"/>
                <w:color w:val="000000"/>
                <w:sz w:val="24"/>
                <w:lang w:eastAsia="pt-BR"/>
              </w:rPr>
              <w:t>75</w:t>
            </w:r>
          </w:p>
        </w:tc>
      </w:tr>
      <w:tr w:rsidR="00481F89" w:rsidRPr="008A3C80" w:rsidTr="002F29E0">
        <w:trPr>
          <w:trHeight w:val="300"/>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nil"/>
              <w:right w:val="single" w:sz="4" w:space="0" w:color="auto"/>
            </w:tcBorders>
            <w:shd w:val="clear" w:color="auto" w:fill="FFFFFF" w:themeFill="background1"/>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Sim</w:t>
            </w:r>
          </w:p>
        </w:tc>
        <w:tc>
          <w:tcPr>
            <w:tcW w:w="621"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5</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616</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29</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683"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62</w:t>
            </w:r>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6</w:t>
            </w:r>
            <w:proofErr w:type="gramEnd"/>
          </w:p>
        </w:tc>
        <w:tc>
          <w:tcPr>
            <w:tcW w:w="587" w:type="dxa"/>
            <w:tcBorders>
              <w:top w:val="nil"/>
              <w:left w:val="nil"/>
              <w:bottom w:val="nil"/>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91</w:t>
            </w:r>
          </w:p>
        </w:tc>
        <w:tc>
          <w:tcPr>
            <w:tcW w:w="649" w:type="dxa"/>
            <w:tcBorders>
              <w:top w:val="nil"/>
              <w:left w:val="nil"/>
              <w:bottom w:val="nil"/>
              <w:right w:val="nil"/>
            </w:tcBorders>
            <w:shd w:val="clear" w:color="auto" w:fill="FFFFFF" w:themeFill="background1"/>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809</w:t>
            </w:r>
          </w:p>
        </w:tc>
      </w:tr>
      <w:tr w:rsidR="00481F89" w:rsidRPr="008A3C80" w:rsidTr="002F29E0">
        <w:trPr>
          <w:trHeight w:val="300"/>
        </w:trPr>
        <w:tc>
          <w:tcPr>
            <w:tcW w:w="440" w:type="dxa"/>
            <w:vMerge/>
            <w:tcBorders>
              <w:top w:val="nil"/>
              <w:left w:val="nil"/>
              <w:bottom w:val="single" w:sz="4" w:space="0" w:color="000000"/>
              <w:right w:val="nil"/>
            </w:tcBorders>
            <w:vAlign w:val="center"/>
            <w:hideMark/>
          </w:tcPr>
          <w:p w:rsidR="00481F89" w:rsidRPr="008A3C80" w:rsidRDefault="00481F89" w:rsidP="00481F89">
            <w:pPr>
              <w:spacing w:after="0" w:line="240" w:lineRule="auto"/>
              <w:ind w:left="-70" w:firstLine="70"/>
              <w:rPr>
                <w:rFonts w:ascii="Times New Roman" w:hAnsi="Times New Roman"/>
                <w:b/>
                <w:bCs/>
                <w:color w:val="000000"/>
                <w:sz w:val="24"/>
                <w:lang w:eastAsia="pt-BR"/>
              </w:rPr>
            </w:pPr>
          </w:p>
        </w:tc>
        <w:tc>
          <w:tcPr>
            <w:tcW w:w="1988" w:type="dxa"/>
            <w:vMerge/>
            <w:tcBorders>
              <w:top w:val="nil"/>
              <w:left w:val="single" w:sz="4" w:space="0" w:color="auto"/>
              <w:bottom w:val="single" w:sz="4" w:space="0" w:color="000000"/>
              <w:right w:val="single" w:sz="4" w:space="0" w:color="auto"/>
            </w:tcBorders>
            <w:vAlign w:val="center"/>
            <w:hideMark/>
          </w:tcPr>
          <w:p w:rsidR="00481F89" w:rsidRPr="008A3C80" w:rsidRDefault="00481F89" w:rsidP="00481F89">
            <w:pPr>
              <w:spacing w:after="0" w:line="240" w:lineRule="auto"/>
              <w:ind w:left="-70" w:firstLine="70"/>
              <w:rPr>
                <w:rFonts w:ascii="Times New Roman" w:hAnsi="Times New Roman"/>
                <w:color w:val="000000"/>
                <w:sz w:val="24"/>
                <w:lang w:eastAsia="pt-BR"/>
              </w:rPr>
            </w:pPr>
          </w:p>
        </w:tc>
        <w:tc>
          <w:tcPr>
            <w:tcW w:w="1273" w:type="dxa"/>
            <w:tcBorders>
              <w:top w:val="nil"/>
              <w:left w:val="nil"/>
              <w:bottom w:val="single" w:sz="4" w:space="0" w:color="auto"/>
              <w:right w:val="single" w:sz="4" w:space="0" w:color="auto"/>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Não</w:t>
            </w:r>
          </w:p>
        </w:tc>
        <w:tc>
          <w:tcPr>
            <w:tcW w:w="621"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4</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0</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15</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8</w:t>
            </w:r>
            <w:proofErr w:type="gramEnd"/>
          </w:p>
        </w:tc>
        <w:tc>
          <w:tcPr>
            <w:tcW w:w="683"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276</w:t>
            </w:r>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3</w:t>
            </w:r>
            <w:proofErr w:type="gramEnd"/>
          </w:p>
        </w:tc>
        <w:tc>
          <w:tcPr>
            <w:tcW w:w="587"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proofErr w:type="gramStart"/>
            <w:r w:rsidRPr="008A3C80">
              <w:rPr>
                <w:rFonts w:ascii="Times New Roman" w:hAnsi="Times New Roman"/>
                <w:sz w:val="24"/>
                <w:lang w:eastAsia="pt-BR"/>
              </w:rPr>
              <w:t>2</w:t>
            </w:r>
            <w:proofErr w:type="gramEnd"/>
          </w:p>
        </w:tc>
        <w:tc>
          <w:tcPr>
            <w:tcW w:w="649" w:type="dxa"/>
            <w:tcBorders>
              <w:top w:val="nil"/>
              <w:left w:val="nil"/>
              <w:bottom w:val="single" w:sz="4" w:space="0" w:color="auto"/>
              <w:right w:val="nil"/>
            </w:tcBorders>
            <w:shd w:val="clear" w:color="auto" w:fill="auto"/>
            <w:noWrap/>
            <w:vAlign w:val="center"/>
            <w:hideMark/>
          </w:tcPr>
          <w:p w:rsidR="00481F89" w:rsidRPr="008A3C80" w:rsidRDefault="00481F89" w:rsidP="00481F89">
            <w:pPr>
              <w:spacing w:after="0" w:line="240" w:lineRule="auto"/>
              <w:ind w:left="-70" w:firstLine="70"/>
              <w:jc w:val="center"/>
              <w:rPr>
                <w:rFonts w:ascii="Times New Roman" w:hAnsi="Times New Roman"/>
                <w:sz w:val="24"/>
                <w:lang w:eastAsia="pt-BR"/>
              </w:rPr>
            </w:pPr>
            <w:r w:rsidRPr="008A3C80">
              <w:rPr>
                <w:rFonts w:ascii="Times New Roman" w:hAnsi="Times New Roman"/>
                <w:sz w:val="24"/>
                <w:lang w:eastAsia="pt-BR"/>
              </w:rPr>
              <w:t>308</w:t>
            </w:r>
          </w:p>
        </w:tc>
      </w:tr>
    </w:tbl>
    <w:p w:rsidR="0023441F" w:rsidRPr="008A3C80" w:rsidRDefault="00A819A6" w:rsidP="00BD2BC1">
      <w:pPr>
        <w:autoSpaceDE w:val="0"/>
        <w:autoSpaceDN w:val="0"/>
        <w:adjustRightInd w:val="0"/>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Fonte: SINAN/MS.</w:t>
      </w:r>
      <w:r w:rsidR="00394250" w:rsidRPr="008A3C80">
        <w:rPr>
          <w:rFonts w:ascii="Times New Roman" w:hAnsi="Times New Roman"/>
          <w:color w:val="000000" w:themeColor="text1"/>
          <w:sz w:val="24"/>
          <w:szCs w:val="24"/>
        </w:rPr>
        <w:t xml:space="preserve"> Atualizado em 14/07/2014.</w:t>
      </w:r>
    </w:p>
    <w:p w:rsidR="00671190" w:rsidRPr="008A3C80" w:rsidRDefault="0023441F" w:rsidP="004E4190">
      <w:pPr>
        <w:numPr>
          <w:ilvl w:val="0"/>
          <w:numId w:val="6"/>
        </w:numPr>
        <w:autoSpaceDE w:val="0"/>
        <w:autoSpaceDN w:val="0"/>
        <w:adjustRightInd w:val="0"/>
        <w:spacing w:line="480" w:lineRule="auto"/>
        <w:ind w:left="708" w:hanging="357"/>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RECOMENDAÇÃO</w:t>
      </w:r>
      <w:r w:rsidR="003370EA" w:rsidRPr="008A3C80">
        <w:rPr>
          <w:rFonts w:ascii="Times New Roman" w:hAnsi="Times New Roman"/>
          <w:color w:val="000000" w:themeColor="text1"/>
          <w:sz w:val="24"/>
          <w:szCs w:val="24"/>
        </w:rPr>
        <w:t xml:space="preserve"> </w:t>
      </w:r>
    </w:p>
    <w:p w:rsidR="00386985" w:rsidRPr="008A3C80" w:rsidRDefault="00386985"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O Ministério da Saúde recomenda a eliminação de qualquer forma de uso do amianto crisotila em todo o território nacional</w:t>
      </w:r>
      <w:r w:rsidR="003D71ED" w:rsidRPr="008A3C80">
        <w:rPr>
          <w:rFonts w:ascii="Times New Roman" w:hAnsi="Times New Roman"/>
          <w:color w:val="000000" w:themeColor="text1"/>
          <w:sz w:val="24"/>
          <w:szCs w:val="24"/>
        </w:rPr>
        <w:t>, assim como a adequada gestão ambiental dos resíduos do amianto e a identificação e o acompanhamento rigoroso da população a ele exposta</w:t>
      </w:r>
      <w:r w:rsidR="009F3EAC" w:rsidRPr="008A3C80">
        <w:rPr>
          <w:rFonts w:ascii="Times New Roman" w:hAnsi="Times New Roman"/>
          <w:color w:val="000000" w:themeColor="text1"/>
          <w:sz w:val="24"/>
          <w:szCs w:val="24"/>
        </w:rPr>
        <w:t xml:space="preserve">. Com a Portaria 1.851/ 96, seria possível fazer com que as informações </w:t>
      </w:r>
      <w:r w:rsidR="009F3EAC" w:rsidRPr="008A3C80">
        <w:rPr>
          <w:rFonts w:ascii="Times New Roman" w:hAnsi="Times New Roman"/>
          <w:color w:val="000000" w:themeColor="text1"/>
          <w:sz w:val="24"/>
          <w:szCs w:val="24"/>
        </w:rPr>
        <w:lastRenderedPageBreak/>
        <w:t xml:space="preserve">emitidas pelas empresas gerassem ações específicas, de caráter preventivo, com a promoção da saúde, e até mesmo assistencial. </w:t>
      </w:r>
    </w:p>
    <w:p w:rsidR="009F539D" w:rsidRPr="008A3C80" w:rsidRDefault="009F539D" w:rsidP="008A3C80">
      <w:pPr>
        <w:autoSpaceDE w:val="0"/>
        <w:autoSpaceDN w:val="0"/>
        <w:adjustRightInd w:val="0"/>
        <w:spacing w:line="480" w:lineRule="auto"/>
        <w:ind w:firstLine="709"/>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Segundo a Organização Mundial da Saúde (WHO, 2014)</w:t>
      </w:r>
      <w:proofErr w:type="gramStart"/>
      <w:r w:rsidRPr="008A3C80">
        <w:rPr>
          <w:rFonts w:ascii="Times New Roman" w:hAnsi="Times New Roman"/>
          <w:color w:val="000000" w:themeColor="text1"/>
          <w:sz w:val="24"/>
          <w:szCs w:val="24"/>
          <w:vertAlign w:val="superscript"/>
        </w:rPr>
        <w:t>2</w:t>
      </w:r>
      <w:proofErr w:type="gramEnd"/>
      <w:r w:rsidRPr="008A3C80">
        <w:rPr>
          <w:rFonts w:ascii="Times New Roman" w:hAnsi="Times New Roman"/>
          <w:color w:val="000000" w:themeColor="text1"/>
          <w:sz w:val="24"/>
          <w:szCs w:val="24"/>
        </w:rPr>
        <w:t>,</w:t>
      </w:r>
      <w:r w:rsidR="004E4190" w:rsidRPr="008A3C80">
        <w:rPr>
          <w:rFonts w:ascii="Times New Roman" w:hAnsi="Times New Roman"/>
          <w:color w:val="000000" w:themeColor="text1"/>
          <w:sz w:val="24"/>
          <w:szCs w:val="24"/>
        </w:rPr>
        <w:t xml:space="preserve"> </w:t>
      </w:r>
      <w:r w:rsidRPr="008A3C80">
        <w:rPr>
          <w:rFonts w:ascii="Times New Roman" w:hAnsi="Times New Roman"/>
          <w:color w:val="000000" w:themeColor="text1"/>
          <w:sz w:val="24"/>
          <w:szCs w:val="24"/>
        </w:rPr>
        <w:t xml:space="preserve">a eliminação de doenças relacionadas ao amianto deve ocorrer por meio das seguintes ações de saúde pública: </w:t>
      </w:r>
    </w:p>
    <w:p w:rsidR="009F539D" w:rsidRPr="008A3C80" w:rsidRDefault="004E4190" w:rsidP="004E4190">
      <w:pPr>
        <w:pStyle w:val="PargrafodaLista"/>
        <w:numPr>
          <w:ilvl w:val="0"/>
          <w:numId w:val="9"/>
        </w:numPr>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Reconhecendo</w:t>
      </w:r>
      <w:r w:rsidR="009F539D" w:rsidRPr="008A3C80">
        <w:rPr>
          <w:rFonts w:ascii="Times New Roman" w:hAnsi="Times New Roman"/>
          <w:color w:val="000000" w:themeColor="text1"/>
          <w:sz w:val="24"/>
          <w:szCs w:val="24"/>
        </w:rPr>
        <w:t xml:space="preserve"> que a forma mais eficiente de eliminar doenças relacionadas ao amianto é interromper o uso de todos os tipos de amianto; </w:t>
      </w:r>
    </w:p>
    <w:p w:rsidR="009F539D" w:rsidRPr="008A3C80" w:rsidRDefault="004E4190" w:rsidP="004E4190">
      <w:pPr>
        <w:pStyle w:val="PargrafodaLista"/>
        <w:numPr>
          <w:ilvl w:val="0"/>
          <w:numId w:val="9"/>
        </w:numPr>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Substituição</w:t>
      </w:r>
      <w:r w:rsidR="009F539D" w:rsidRPr="008A3C80">
        <w:rPr>
          <w:rFonts w:ascii="Times New Roman" w:hAnsi="Times New Roman"/>
          <w:color w:val="000000" w:themeColor="text1"/>
          <w:sz w:val="24"/>
          <w:szCs w:val="24"/>
        </w:rPr>
        <w:t xml:space="preserve"> de amianto com substitutos mais seguros e desenvolvimento de mecanismos econômicos e tecnológicos para estimular a sua substituição; </w:t>
      </w:r>
    </w:p>
    <w:p w:rsidR="009F539D" w:rsidRPr="008A3C80" w:rsidRDefault="004E4190" w:rsidP="004E4190">
      <w:pPr>
        <w:pStyle w:val="PargrafodaLista"/>
        <w:numPr>
          <w:ilvl w:val="0"/>
          <w:numId w:val="9"/>
        </w:numPr>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Tomar</w:t>
      </w:r>
      <w:r w:rsidR="009F539D" w:rsidRPr="008A3C80">
        <w:rPr>
          <w:rFonts w:ascii="Times New Roman" w:hAnsi="Times New Roman"/>
          <w:color w:val="000000" w:themeColor="text1"/>
          <w:sz w:val="24"/>
          <w:szCs w:val="24"/>
        </w:rPr>
        <w:t xml:space="preserve"> medidas para prevenir a exposição ao amianto no local e durante a remoção do amianto (abatimento), e; </w:t>
      </w:r>
    </w:p>
    <w:p w:rsidR="009F539D" w:rsidRPr="008A3C80" w:rsidRDefault="004E4190" w:rsidP="004E4190">
      <w:pPr>
        <w:pStyle w:val="PargrafodaLista"/>
        <w:numPr>
          <w:ilvl w:val="0"/>
          <w:numId w:val="9"/>
        </w:numPr>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Melhorar</w:t>
      </w:r>
      <w:r w:rsidR="009F539D" w:rsidRPr="008A3C80">
        <w:rPr>
          <w:rFonts w:ascii="Times New Roman" w:hAnsi="Times New Roman"/>
          <w:color w:val="000000" w:themeColor="text1"/>
          <w:sz w:val="24"/>
          <w:szCs w:val="24"/>
        </w:rPr>
        <w:t xml:space="preserve"> o diagnóstico precoce, tratamento, reabilitação social e médica de doenças relacionadas ao amianto e estabelecimento de registros de pessoas com passado e / ou exposições atuais ao amianto. </w:t>
      </w:r>
    </w:p>
    <w:p w:rsidR="009F539D" w:rsidRPr="008A3C80" w:rsidRDefault="009F539D" w:rsidP="004E4190">
      <w:pPr>
        <w:pStyle w:val="PargrafodaLista"/>
        <w:numPr>
          <w:ilvl w:val="0"/>
          <w:numId w:val="9"/>
        </w:numPr>
        <w:spacing w:line="480" w:lineRule="auto"/>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Documentos informativos curtos para os tomadores de decisão</w:t>
      </w:r>
      <w:r w:rsidR="004E4190" w:rsidRPr="008A3C80">
        <w:rPr>
          <w:rFonts w:ascii="Times New Roman" w:hAnsi="Times New Roman"/>
          <w:color w:val="000000" w:themeColor="text1"/>
          <w:sz w:val="24"/>
          <w:szCs w:val="24"/>
        </w:rPr>
        <w:t>.</w:t>
      </w:r>
    </w:p>
    <w:p w:rsidR="003370EA" w:rsidRPr="008A3C80" w:rsidRDefault="003370EA" w:rsidP="00BD2BC1">
      <w:pPr>
        <w:autoSpaceDE w:val="0"/>
        <w:autoSpaceDN w:val="0"/>
        <w:adjustRightInd w:val="0"/>
        <w:spacing w:line="480" w:lineRule="auto"/>
        <w:jc w:val="both"/>
        <w:rPr>
          <w:rFonts w:ascii="Times New Roman" w:hAnsi="Times New Roman"/>
          <w:color w:val="000000" w:themeColor="text1"/>
          <w:sz w:val="24"/>
          <w:szCs w:val="24"/>
        </w:rPr>
      </w:pPr>
    </w:p>
    <w:p w:rsidR="00743CB3" w:rsidRPr="008A3C80" w:rsidRDefault="0023441F" w:rsidP="00BD2BC1">
      <w:pPr>
        <w:numPr>
          <w:ilvl w:val="0"/>
          <w:numId w:val="6"/>
        </w:numPr>
        <w:autoSpaceDE w:val="0"/>
        <w:autoSpaceDN w:val="0"/>
        <w:adjustRightInd w:val="0"/>
        <w:spacing w:line="480" w:lineRule="auto"/>
        <w:ind w:left="1066" w:hanging="357"/>
        <w:jc w:val="both"/>
        <w:rPr>
          <w:rFonts w:ascii="Times New Roman" w:hAnsi="Times New Roman"/>
          <w:color w:val="000000" w:themeColor="text1"/>
          <w:sz w:val="24"/>
          <w:szCs w:val="24"/>
        </w:rPr>
      </w:pPr>
      <w:r w:rsidRPr="008A3C80">
        <w:rPr>
          <w:rFonts w:ascii="Times New Roman" w:hAnsi="Times New Roman"/>
          <w:color w:val="000000" w:themeColor="text1"/>
          <w:sz w:val="24"/>
          <w:szCs w:val="24"/>
        </w:rPr>
        <w:t>REFERÊNCIAS</w:t>
      </w:r>
      <w:r w:rsidR="00743CB3" w:rsidRPr="008A3C80">
        <w:rPr>
          <w:rFonts w:ascii="Times New Roman" w:hAnsi="Times New Roman"/>
          <w:color w:val="000000" w:themeColor="text1"/>
          <w:sz w:val="24"/>
          <w:szCs w:val="24"/>
        </w:rPr>
        <w:t>;</w:t>
      </w:r>
      <w:r w:rsidR="003370EA" w:rsidRPr="008A3C80">
        <w:rPr>
          <w:rFonts w:ascii="Times New Roman" w:hAnsi="Times New Roman"/>
          <w:color w:val="000000" w:themeColor="text1"/>
          <w:sz w:val="24"/>
          <w:szCs w:val="24"/>
        </w:rPr>
        <w:t xml:space="preserve"> </w:t>
      </w:r>
    </w:p>
    <w:p w:rsidR="009F6973" w:rsidRPr="008A3C80" w:rsidRDefault="00DB386B" w:rsidP="00075A0C">
      <w:pPr>
        <w:autoSpaceDE w:val="0"/>
        <w:autoSpaceDN w:val="0"/>
        <w:adjustRightInd w:val="0"/>
        <w:spacing w:line="480" w:lineRule="auto"/>
        <w:ind w:left="1066"/>
        <w:rPr>
          <w:rFonts w:ascii="Times New Roman" w:hAnsi="Times New Roman"/>
          <w:bCs/>
          <w:color w:val="000000" w:themeColor="text1"/>
          <w:sz w:val="24"/>
          <w:szCs w:val="24"/>
          <w:lang w:val="en-US"/>
        </w:rPr>
      </w:pPr>
      <w:r w:rsidRPr="008A3C80">
        <w:rPr>
          <w:rFonts w:ascii="Times New Roman" w:hAnsi="Times New Roman"/>
          <w:color w:val="000000" w:themeColor="text1"/>
          <w:sz w:val="24"/>
          <w:szCs w:val="24"/>
        </w:rPr>
        <w:t xml:space="preserve">1. </w:t>
      </w:r>
      <w:r w:rsidR="009F6973" w:rsidRPr="008A3C80">
        <w:rPr>
          <w:rFonts w:ascii="Times New Roman" w:hAnsi="Times New Roman"/>
          <w:bCs/>
          <w:color w:val="000000" w:themeColor="text1"/>
          <w:sz w:val="24"/>
          <w:szCs w:val="24"/>
        </w:rPr>
        <w:t>Instituto Nacional de Câncer</w:t>
      </w:r>
      <w:r w:rsidR="009F6973" w:rsidRPr="008A3C80">
        <w:rPr>
          <w:rFonts w:ascii="Times New Roman" w:hAnsi="Times New Roman"/>
          <w:color w:val="000000" w:themeColor="text1"/>
          <w:sz w:val="24"/>
          <w:szCs w:val="24"/>
        </w:rPr>
        <w:t xml:space="preserve"> (</w:t>
      </w:r>
      <w:r w:rsidRPr="008A3C80">
        <w:rPr>
          <w:rFonts w:ascii="Times New Roman" w:hAnsi="Times New Roman"/>
          <w:color w:val="000000" w:themeColor="text1"/>
          <w:sz w:val="24"/>
          <w:szCs w:val="24"/>
        </w:rPr>
        <w:t>INCA</w:t>
      </w:r>
      <w:r w:rsidR="009F6973" w:rsidRPr="008A3C80">
        <w:rPr>
          <w:rFonts w:ascii="Times New Roman" w:hAnsi="Times New Roman"/>
          <w:color w:val="000000" w:themeColor="text1"/>
          <w:sz w:val="24"/>
          <w:szCs w:val="24"/>
        </w:rPr>
        <w:t>)</w:t>
      </w:r>
      <w:r w:rsidR="004B64C4" w:rsidRPr="008A3C80">
        <w:rPr>
          <w:rFonts w:ascii="Times New Roman" w:hAnsi="Times New Roman"/>
          <w:bCs/>
          <w:color w:val="000000" w:themeColor="text1"/>
          <w:sz w:val="24"/>
          <w:szCs w:val="24"/>
        </w:rPr>
        <w:t>. Rio de Janeiro, 2011</w:t>
      </w:r>
      <w:r w:rsidR="009F6973" w:rsidRPr="008A3C80">
        <w:rPr>
          <w:rFonts w:ascii="Times New Roman" w:hAnsi="Times New Roman"/>
          <w:bCs/>
          <w:color w:val="000000" w:themeColor="text1"/>
          <w:sz w:val="24"/>
          <w:szCs w:val="24"/>
        </w:rPr>
        <w:t>. Disponível em: &lt;</w:t>
      </w:r>
      <w:hyperlink r:id="rId9" w:history="1">
        <w:r w:rsidR="009F6973" w:rsidRPr="008A3C80">
          <w:rPr>
            <w:rStyle w:val="Forte"/>
            <w:rFonts w:ascii="Times New Roman" w:hAnsi="Times New Roman"/>
            <w:sz w:val="24"/>
            <w:szCs w:val="24"/>
          </w:rPr>
          <w:t>http://www1.inca.gov.br/conteudo_view.asp?ID=15</w:t>
        </w:r>
      </w:hyperlink>
      <w:r w:rsidR="009F6973" w:rsidRPr="008A3C80">
        <w:rPr>
          <w:rFonts w:ascii="Times New Roman" w:hAnsi="Times New Roman"/>
          <w:color w:val="000000" w:themeColor="text1"/>
          <w:sz w:val="24"/>
          <w:szCs w:val="24"/>
        </w:rPr>
        <w:t xml:space="preserve">&gt;. </w:t>
      </w:r>
      <w:proofErr w:type="spellStart"/>
      <w:r w:rsidR="009F6973" w:rsidRPr="008A3C80">
        <w:rPr>
          <w:rFonts w:ascii="Times New Roman" w:hAnsi="Times New Roman"/>
          <w:color w:val="000000" w:themeColor="text1"/>
          <w:sz w:val="24"/>
          <w:szCs w:val="24"/>
          <w:lang w:val="en-US"/>
        </w:rPr>
        <w:t>A</w:t>
      </w:r>
      <w:r w:rsidRPr="008A3C80">
        <w:rPr>
          <w:rFonts w:ascii="Times New Roman" w:hAnsi="Times New Roman"/>
          <w:color w:val="000000" w:themeColor="text1"/>
          <w:sz w:val="24"/>
          <w:szCs w:val="24"/>
          <w:lang w:val="en-US"/>
        </w:rPr>
        <w:t>cessado</w:t>
      </w:r>
      <w:proofErr w:type="spellEnd"/>
      <w:r w:rsidRPr="008A3C80">
        <w:rPr>
          <w:rFonts w:ascii="Times New Roman" w:hAnsi="Times New Roman"/>
          <w:color w:val="000000" w:themeColor="text1"/>
          <w:sz w:val="24"/>
          <w:szCs w:val="24"/>
          <w:lang w:val="en-US"/>
        </w:rPr>
        <w:t xml:space="preserve"> em </w:t>
      </w:r>
      <w:r w:rsidR="009F6973" w:rsidRPr="008A3C80">
        <w:rPr>
          <w:rFonts w:ascii="Times New Roman" w:hAnsi="Times New Roman"/>
          <w:bCs/>
          <w:color w:val="000000" w:themeColor="text1"/>
          <w:sz w:val="24"/>
          <w:szCs w:val="24"/>
          <w:lang w:val="en-US"/>
        </w:rPr>
        <w:t xml:space="preserve">23 </w:t>
      </w:r>
      <w:proofErr w:type="spellStart"/>
      <w:proofErr w:type="gramStart"/>
      <w:r w:rsidR="009F6973" w:rsidRPr="008A3C80">
        <w:rPr>
          <w:rFonts w:ascii="Times New Roman" w:hAnsi="Times New Roman"/>
          <w:bCs/>
          <w:color w:val="000000" w:themeColor="text1"/>
          <w:sz w:val="24"/>
          <w:szCs w:val="24"/>
          <w:lang w:val="en-US"/>
        </w:rPr>
        <w:t>jul</w:t>
      </w:r>
      <w:proofErr w:type="gramEnd"/>
      <w:r w:rsidR="009F6973" w:rsidRPr="008A3C80">
        <w:rPr>
          <w:rFonts w:ascii="Times New Roman" w:hAnsi="Times New Roman"/>
          <w:bCs/>
          <w:color w:val="000000" w:themeColor="text1"/>
          <w:sz w:val="24"/>
          <w:szCs w:val="24"/>
          <w:lang w:val="en-US"/>
        </w:rPr>
        <w:t>.</w:t>
      </w:r>
      <w:proofErr w:type="spellEnd"/>
      <w:r w:rsidR="009F6973" w:rsidRPr="008A3C80">
        <w:rPr>
          <w:rFonts w:ascii="Times New Roman" w:hAnsi="Times New Roman"/>
          <w:bCs/>
          <w:color w:val="000000" w:themeColor="text1"/>
          <w:sz w:val="24"/>
          <w:szCs w:val="24"/>
          <w:lang w:val="en-US"/>
        </w:rPr>
        <w:t xml:space="preserve"> 2014.</w:t>
      </w:r>
    </w:p>
    <w:p w:rsidR="009D05AD" w:rsidRPr="008A3C80" w:rsidRDefault="00662469" w:rsidP="00075A0C">
      <w:pPr>
        <w:autoSpaceDE w:val="0"/>
        <w:autoSpaceDN w:val="0"/>
        <w:adjustRightInd w:val="0"/>
        <w:spacing w:line="480" w:lineRule="auto"/>
        <w:ind w:left="1066"/>
        <w:rPr>
          <w:rFonts w:ascii="Times New Roman" w:hAnsi="Times New Roman"/>
          <w:bCs/>
          <w:color w:val="000000" w:themeColor="text1"/>
          <w:sz w:val="24"/>
          <w:szCs w:val="24"/>
        </w:rPr>
      </w:pPr>
      <w:r w:rsidRPr="008A3C80">
        <w:rPr>
          <w:rFonts w:ascii="Times New Roman" w:hAnsi="Times New Roman"/>
          <w:color w:val="000000" w:themeColor="text1"/>
          <w:sz w:val="24"/>
          <w:szCs w:val="24"/>
          <w:lang w:val="en-US"/>
        </w:rPr>
        <w:lastRenderedPageBreak/>
        <w:t xml:space="preserve">2. </w:t>
      </w:r>
      <w:r w:rsidR="009F6973" w:rsidRPr="008A3C80">
        <w:rPr>
          <w:rFonts w:ascii="Times New Roman" w:hAnsi="Times New Roman"/>
          <w:bCs/>
          <w:color w:val="000000" w:themeColor="text1"/>
          <w:sz w:val="24"/>
          <w:szCs w:val="24"/>
          <w:lang w:val="en-US"/>
        </w:rPr>
        <w:t>World Health Organization (</w:t>
      </w:r>
      <w:r w:rsidRPr="008A3C80">
        <w:rPr>
          <w:rFonts w:ascii="Times New Roman" w:hAnsi="Times New Roman"/>
          <w:bCs/>
          <w:color w:val="000000" w:themeColor="text1"/>
          <w:sz w:val="24"/>
          <w:szCs w:val="24"/>
          <w:lang w:val="en-US"/>
        </w:rPr>
        <w:t>WHO</w:t>
      </w:r>
      <w:r w:rsidR="009F6973" w:rsidRPr="008A3C80">
        <w:rPr>
          <w:rFonts w:ascii="Times New Roman" w:hAnsi="Times New Roman"/>
          <w:bCs/>
          <w:color w:val="000000" w:themeColor="text1"/>
          <w:sz w:val="24"/>
          <w:szCs w:val="24"/>
          <w:lang w:val="en-US"/>
        </w:rPr>
        <w:t>)</w:t>
      </w:r>
      <w:r w:rsidRPr="008A3C80">
        <w:rPr>
          <w:rFonts w:ascii="Times New Roman" w:hAnsi="Times New Roman"/>
          <w:bCs/>
          <w:color w:val="000000" w:themeColor="text1"/>
          <w:sz w:val="24"/>
          <w:szCs w:val="24"/>
          <w:lang w:val="en-US"/>
        </w:rPr>
        <w:t xml:space="preserve"> –</w:t>
      </w:r>
      <w:r w:rsidR="009F6973" w:rsidRPr="008A3C80">
        <w:rPr>
          <w:rFonts w:ascii="Times New Roman" w:hAnsi="Times New Roman"/>
          <w:bCs/>
          <w:color w:val="000000" w:themeColor="text1"/>
          <w:sz w:val="24"/>
          <w:szCs w:val="24"/>
          <w:lang w:val="en-US"/>
        </w:rPr>
        <w:t xml:space="preserve"> </w:t>
      </w:r>
      <w:r w:rsidR="009D05AD" w:rsidRPr="008A3C80">
        <w:rPr>
          <w:rFonts w:ascii="Times New Roman" w:hAnsi="Times New Roman"/>
          <w:bCs/>
          <w:color w:val="000000" w:themeColor="text1"/>
          <w:sz w:val="24"/>
          <w:szCs w:val="24"/>
          <w:lang w:val="en-US"/>
        </w:rPr>
        <w:t xml:space="preserve">International </w:t>
      </w:r>
      <w:proofErr w:type="spellStart"/>
      <w:r w:rsidR="009D05AD" w:rsidRPr="008A3C80">
        <w:rPr>
          <w:rFonts w:ascii="Times New Roman" w:hAnsi="Times New Roman"/>
          <w:bCs/>
          <w:color w:val="000000" w:themeColor="text1"/>
          <w:sz w:val="24"/>
          <w:szCs w:val="24"/>
          <w:lang w:val="en-US"/>
        </w:rPr>
        <w:t>Programme</w:t>
      </w:r>
      <w:proofErr w:type="spellEnd"/>
      <w:r w:rsidR="009D05AD" w:rsidRPr="008A3C80">
        <w:rPr>
          <w:rFonts w:ascii="Times New Roman" w:hAnsi="Times New Roman"/>
          <w:bCs/>
          <w:color w:val="000000" w:themeColor="text1"/>
          <w:sz w:val="24"/>
          <w:szCs w:val="24"/>
          <w:lang w:val="en-US"/>
        </w:rPr>
        <w:t xml:space="preserve"> on Chemical Safety – ASBESTO. </w:t>
      </w:r>
      <w:r w:rsidR="009D05AD" w:rsidRPr="008A3C80">
        <w:rPr>
          <w:rFonts w:ascii="Times New Roman" w:hAnsi="Times New Roman"/>
          <w:bCs/>
          <w:color w:val="000000" w:themeColor="text1"/>
          <w:sz w:val="24"/>
          <w:szCs w:val="24"/>
        </w:rPr>
        <w:t>W</w:t>
      </w:r>
      <w:r w:rsidR="00075A0C" w:rsidRPr="008A3C80">
        <w:rPr>
          <w:rFonts w:ascii="Times New Roman" w:hAnsi="Times New Roman"/>
          <w:bCs/>
          <w:color w:val="000000" w:themeColor="text1"/>
          <w:sz w:val="24"/>
          <w:szCs w:val="24"/>
        </w:rPr>
        <w:t>HO</w:t>
      </w:r>
      <w:r w:rsidR="009F6973" w:rsidRPr="008A3C80">
        <w:rPr>
          <w:rFonts w:ascii="Times New Roman" w:hAnsi="Times New Roman"/>
          <w:bCs/>
          <w:color w:val="000000" w:themeColor="text1"/>
          <w:sz w:val="24"/>
          <w:szCs w:val="24"/>
        </w:rPr>
        <w:t xml:space="preserve">, </w:t>
      </w:r>
      <w:r w:rsidR="009D05AD" w:rsidRPr="008A3C80">
        <w:rPr>
          <w:rFonts w:ascii="Times New Roman" w:hAnsi="Times New Roman"/>
          <w:bCs/>
          <w:color w:val="000000" w:themeColor="text1"/>
          <w:sz w:val="24"/>
          <w:szCs w:val="24"/>
        </w:rPr>
        <w:t>2014. Disponível em: &lt;</w:t>
      </w:r>
      <w:hyperlink r:id="rId10" w:history="1">
        <w:r w:rsidR="009D05AD" w:rsidRPr="008A3C80">
          <w:rPr>
            <w:rStyle w:val="Forte"/>
            <w:rFonts w:ascii="Times New Roman" w:hAnsi="Times New Roman"/>
            <w:sz w:val="24"/>
            <w:szCs w:val="24"/>
          </w:rPr>
          <w:t>http://www.who.int/ipcs/assessment/public_health/asbestos/en/</w:t>
        </w:r>
      </w:hyperlink>
      <w:r w:rsidR="009D05AD" w:rsidRPr="008A3C80">
        <w:rPr>
          <w:rFonts w:ascii="Times New Roman" w:hAnsi="Times New Roman"/>
          <w:bCs/>
          <w:color w:val="000000" w:themeColor="text1"/>
          <w:sz w:val="24"/>
          <w:szCs w:val="24"/>
        </w:rPr>
        <w:t>&gt;. Acess</w:t>
      </w:r>
      <w:r w:rsidR="009F6973" w:rsidRPr="008A3C80">
        <w:rPr>
          <w:rFonts w:ascii="Times New Roman" w:hAnsi="Times New Roman"/>
          <w:bCs/>
          <w:color w:val="000000" w:themeColor="text1"/>
          <w:sz w:val="24"/>
          <w:szCs w:val="24"/>
        </w:rPr>
        <w:t>ad</w:t>
      </w:r>
      <w:r w:rsidR="009D05AD" w:rsidRPr="008A3C80">
        <w:rPr>
          <w:rFonts w:ascii="Times New Roman" w:hAnsi="Times New Roman"/>
          <w:bCs/>
          <w:color w:val="000000" w:themeColor="text1"/>
          <w:sz w:val="24"/>
          <w:szCs w:val="24"/>
        </w:rPr>
        <w:t>o em: 2</w:t>
      </w:r>
      <w:r w:rsidR="009F6973" w:rsidRPr="008A3C80">
        <w:rPr>
          <w:rFonts w:ascii="Times New Roman" w:hAnsi="Times New Roman"/>
          <w:bCs/>
          <w:color w:val="000000" w:themeColor="text1"/>
          <w:sz w:val="24"/>
          <w:szCs w:val="24"/>
        </w:rPr>
        <w:t xml:space="preserve">3 jul. </w:t>
      </w:r>
      <w:r w:rsidR="009D05AD" w:rsidRPr="008A3C80">
        <w:rPr>
          <w:rFonts w:ascii="Times New Roman" w:hAnsi="Times New Roman"/>
          <w:bCs/>
          <w:color w:val="000000" w:themeColor="text1"/>
          <w:sz w:val="24"/>
          <w:szCs w:val="24"/>
        </w:rPr>
        <w:t>2014.</w:t>
      </w:r>
    </w:p>
    <w:p w:rsidR="000E2A2C" w:rsidRPr="008A3C80" w:rsidRDefault="004B64C4" w:rsidP="00075A0C">
      <w:pPr>
        <w:autoSpaceDE w:val="0"/>
        <w:autoSpaceDN w:val="0"/>
        <w:adjustRightInd w:val="0"/>
        <w:spacing w:line="480" w:lineRule="auto"/>
        <w:ind w:left="1066"/>
        <w:rPr>
          <w:rFonts w:ascii="Times New Roman" w:hAnsi="Times New Roman"/>
          <w:bCs/>
          <w:color w:val="000000" w:themeColor="text1"/>
          <w:sz w:val="24"/>
          <w:szCs w:val="24"/>
        </w:rPr>
      </w:pPr>
      <w:r w:rsidRPr="008A3C80">
        <w:rPr>
          <w:rFonts w:ascii="Times New Roman" w:hAnsi="Times New Roman"/>
          <w:bCs/>
          <w:color w:val="000000" w:themeColor="text1"/>
          <w:sz w:val="24"/>
          <w:szCs w:val="24"/>
        </w:rPr>
        <w:t xml:space="preserve">3. </w:t>
      </w:r>
      <w:r w:rsidR="00662469" w:rsidRPr="008A3C80">
        <w:rPr>
          <w:rFonts w:ascii="Times New Roman" w:hAnsi="Times New Roman"/>
          <w:color w:val="000000" w:themeColor="text1"/>
          <w:sz w:val="24"/>
          <w:szCs w:val="24"/>
        </w:rPr>
        <w:t xml:space="preserve"> </w:t>
      </w:r>
      <w:r w:rsidR="009D05AD" w:rsidRPr="008A3C80">
        <w:rPr>
          <w:rFonts w:ascii="Times New Roman" w:hAnsi="Times New Roman"/>
          <w:bCs/>
          <w:color w:val="000000" w:themeColor="text1"/>
          <w:sz w:val="24"/>
          <w:szCs w:val="24"/>
        </w:rPr>
        <w:t>GIANNASI, Fernanda. </w:t>
      </w:r>
      <w:hyperlink r:id="rId11" w:history="1">
        <w:r w:rsidR="009D05AD" w:rsidRPr="008A3C80">
          <w:rPr>
            <w:rFonts w:ascii="Times New Roman" w:hAnsi="Times New Roman"/>
            <w:bCs/>
            <w:color w:val="000000" w:themeColor="text1"/>
            <w:sz w:val="24"/>
            <w:szCs w:val="24"/>
          </w:rPr>
          <w:t>Morte lenta. A exposição ao amianto ou asbesto como causa de câncer ocupacional no Brasil</w:t>
        </w:r>
      </w:hyperlink>
      <w:r w:rsidR="009D05AD" w:rsidRPr="008A3C80">
        <w:rPr>
          <w:rFonts w:ascii="Times New Roman" w:hAnsi="Times New Roman"/>
          <w:bCs/>
          <w:color w:val="000000" w:themeColor="text1"/>
          <w:sz w:val="24"/>
          <w:szCs w:val="24"/>
        </w:rPr>
        <w:t>. </w:t>
      </w:r>
      <w:r w:rsidR="009D05AD" w:rsidRPr="008A3C80">
        <w:rPr>
          <w:rFonts w:ascii="Times New Roman" w:hAnsi="Times New Roman"/>
          <w:color w:val="000000" w:themeColor="text1"/>
          <w:sz w:val="24"/>
          <w:szCs w:val="24"/>
        </w:rPr>
        <w:t xml:space="preserve">Jus </w:t>
      </w:r>
      <w:proofErr w:type="spellStart"/>
      <w:r w:rsidR="009D05AD" w:rsidRPr="008A3C80">
        <w:rPr>
          <w:rFonts w:ascii="Times New Roman" w:hAnsi="Times New Roman"/>
          <w:color w:val="000000" w:themeColor="text1"/>
          <w:sz w:val="24"/>
          <w:szCs w:val="24"/>
        </w:rPr>
        <w:t>Navigandi</w:t>
      </w:r>
      <w:proofErr w:type="spellEnd"/>
      <w:r w:rsidR="009D05AD" w:rsidRPr="008A3C80">
        <w:rPr>
          <w:rFonts w:ascii="Times New Roman" w:hAnsi="Times New Roman"/>
          <w:bCs/>
          <w:color w:val="000000" w:themeColor="text1"/>
          <w:sz w:val="24"/>
          <w:szCs w:val="24"/>
        </w:rPr>
        <w:t>, Teresina, </w:t>
      </w:r>
      <w:hyperlink r:id="rId12" w:history="1">
        <w:r w:rsidR="009D05AD" w:rsidRPr="008A3C80">
          <w:rPr>
            <w:rFonts w:ascii="Times New Roman" w:hAnsi="Times New Roman"/>
            <w:bCs/>
            <w:color w:val="000000" w:themeColor="text1"/>
            <w:sz w:val="24"/>
            <w:szCs w:val="24"/>
          </w:rPr>
          <w:t>ano 10</w:t>
        </w:r>
      </w:hyperlink>
      <w:r w:rsidR="009D05AD" w:rsidRPr="008A3C80">
        <w:rPr>
          <w:rFonts w:ascii="Times New Roman" w:hAnsi="Times New Roman"/>
          <w:bCs/>
          <w:color w:val="000000" w:themeColor="text1"/>
          <w:sz w:val="24"/>
          <w:szCs w:val="24"/>
        </w:rPr>
        <w:t>, </w:t>
      </w:r>
      <w:hyperlink r:id="rId13" w:history="1">
        <w:r w:rsidR="009D05AD" w:rsidRPr="008A3C80">
          <w:rPr>
            <w:rFonts w:ascii="Times New Roman" w:hAnsi="Times New Roman"/>
            <w:bCs/>
            <w:color w:val="000000" w:themeColor="text1"/>
            <w:sz w:val="24"/>
            <w:szCs w:val="24"/>
          </w:rPr>
          <w:t>n. 618</w:t>
        </w:r>
      </w:hyperlink>
      <w:r w:rsidR="009D05AD" w:rsidRPr="008A3C80">
        <w:rPr>
          <w:rFonts w:ascii="Times New Roman" w:hAnsi="Times New Roman"/>
          <w:bCs/>
          <w:color w:val="000000" w:themeColor="text1"/>
          <w:sz w:val="24"/>
          <w:szCs w:val="24"/>
        </w:rPr>
        <w:t>, </w:t>
      </w:r>
      <w:hyperlink r:id="rId14" w:history="1">
        <w:r w:rsidR="009D05AD" w:rsidRPr="008A3C80">
          <w:rPr>
            <w:rFonts w:ascii="Times New Roman" w:hAnsi="Times New Roman"/>
            <w:bCs/>
            <w:color w:val="000000" w:themeColor="text1"/>
            <w:sz w:val="24"/>
            <w:szCs w:val="24"/>
          </w:rPr>
          <w:t>18</w:t>
        </w:r>
      </w:hyperlink>
      <w:r w:rsidR="009D05AD" w:rsidRPr="008A3C80">
        <w:rPr>
          <w:rFonts w:ascii="Times New Roman" w:hAnsi="Times New Roman"/>
          <w:bCs/>
          <w:color w:val="000000" w:themeColor="text1"/>
          <w:sz w:val="24"/>
          <w:szCs w:val="24"/>
        </w:rPr>
        <w:t> </w:t>
      </w:r>
      <w:hyperlink r:id="rId15" w:history="1">
        <w:r w:rsidR="009D05AD" w:rsidRPr="008A3C80">
          <w:rPr>
            <w:rFonts w:ascii="Times New Roman" w:hAnsi="Times New Roman"/>
            <w:bCs/>
            <w:color w:val="000000" w:themeColor="text1"/>
            <w:sz w:val="24"/>
            <w:szCs w:val="24"/>
          </w:rPr>
          <w:t>mar.</w:t>
        </w:r>
      </w:hyperlink>
      <w:r w:rsidR="009D05AD" w:rsidRPr="008A3C80">
        <w:rPr>
          <w:rFonts w:ascii="Times New Roman" w:hAnsi="Times New Roman"/>
          <w:bCs/>
          <w:color w:val="000000" w:themeColor="text1"/>
          <w:sz w:val="24"/>
          <w:szCs w:val="24"/>
        </w:rPr>
        <w:t> </w:t>
      </w:r>
      <w:hyperlink r:id="rId16" w:history="1">
        <w:r w:rsidR="009D05AD" w:rsidRPr="008A3C80">
          <w:rPr>
            <w:rFonts w:ascii="Times New Roman" w:hAnsi="Times New Roman"/>
            <w:bCs/>
            <w:color w:val="000000" w:themeColor="text1"/>
            <w:sz w:val="24"/>
            <w:szCs w:val="24"/>
          </w:rPr>
          <w:t>2005</w:t>
        </w:r>
      </w:hyperlink>
      <w:r w:rsidR="009D05AD" w:rsidRPr="008A3C80">
        <w:rPr>
          <w:rFonts w:ascii="Times New Roman" w:hAnsi="Times New Roman"/>
          <w:bCs/>
          <w:color w:val="000000" w:themeColor="text1"/>
          <w:sz w:val="24"/>
          <w:szCs w:val="24"/>
        </w:rPr>
        <w:t>. Disponível em: &lt;</w:t>
      </w:r>
      <w:r w:rsidR="009D05AD" w:rsidRPr="008A3C80">
        <w:rPr>
          <w:rStyle w:val="Forte"/>
          <w:rFonts w:ascii="Times New Roman" w:hAnsi="Times New Roman"/>
          <w:sz w:val="24"/>
          <w:szCs w:val="24"/>
        </w:rPr>
        <w:t>http://jus.com.br/artigos/6461</w:t>
      </w:r>
      <w:r w:rsidR="009D05AD" w:rsidRPr="008A3C80">
        <w:rPr>
          <w:rFonts w:ascii="Times New Roman" w:hAnsi="Times New Roman"/>
          <w:bCs/>
          <w:color w:val="000000" w:themeColor="text1"/>
          <w:sz w:val="24"/>
          <w:szCs w:val="24"/>
        </w:rPr>
        <w:t>&gt;. Acesso em: 21 jul. 2014.</w:t>
      </w:r>
    </w:p>
    <w:p w:rsidR="000E2A2C" w:rsidRPr="008A3C80" w:rsidRDefault="000E2A2C" w:rsidP="000E2A2C">
      <w:pPr>
        <w:autoSpaceDE w:val="0"/>
        <w:autoSpaceDN w:val="0"/>
        <w:adjustRightInd w:val="0"/>
        <w:spacing w:line="480" w:lineRule="auto"/>
        <w:ind w:left="1066"/>
        <w:rPr>
          <w:rFonts w:ascii="Times New Roman" w:hAnsi="Times New Roman"/>
          <w:bCs/>
          <w:color w:val="000000" w:themeColor="text1"/>
          <w:sz w:val="24"/>
          <w:szCs w:val="24"/>
        </w:rPr>
      </w:pPr>
      <w:r w:rsidRPr="008A3C80">
        <w:rPr>
          <w:rFonts w:ascii="Times New Roman" w:hAnsi="Times New Roman"/>
          <w:bCs/>
          <w:color w:val="000000" w:themeColor="text1"/>
          <w:sz w:val="24"/>
          <w:szCs w:val="24"/>
        </w:rPr>
        <w:t xml:space="preserve">4. </w:t>
      </w:r>
      <w:proofErr w:type="spellStart"/>
      <w:r w:rsidRPr="008A3C80">
        <w:rPr>
          <w:rFonts w:ascii="Times New Roman" w:hAnsi="Times New Roman"/>
          <w:bCs/>
          <w:color w:val="000000" w:themeColor="text1"/>
          <w:sz w:val="24"/>
          <w:szCs w:val="24"/>
        </w:rPr>
        <w:t>Virta</w:t>
      </w:r>
      <w:proofErr w:type="spellEnd"/>
      <w:r w:rsidRPr="008A3C80">
        <w:rPr>
          <w:rFonts w:ascii="Times New Roman" w:hAnsi="Times New Roman"/>
          <w:bCs/>
          <w:color w:val="000000" w:themeColor="text1"/>
          <w:sz w:val="24"/>
          <w:szCs w:val="24"/>
        </w:rPr>
        <w:t xml:space="preserve">, R.L., 2012, Asbestos: U.S. </w:t>
      </w:r>
      <w:proofErr w:type="spellStart"/>
      <w:r w:rsidRPr="008A3C80">
        <w:rPr>
          <w:rFonts w:ascii="Times New Roman" w:hAnsi="Times New Roman"/>
          <w:bCs/>
          <w:color w:val="000000" w:themeColor="text1"/>
          <w:sz w:val="24"/>
          <w:szCs w:val="24"/>
        </w:rPr>
        <w:t>Geological</w:t>
      </w:r>
      <w:proofErr w:type="spellEnd"/>
      <w:r w:rsidRPr="008A3C80">
        <w:rPr>
          <w:rFonts w:ascii="Times New Roman" w:hAnsi="Times New Roman"/>
          <w:bCs/>
          <w:color w:val="000000" w:themeColor="text1"/>
          <w:sz w:val="24"/>
          <w:szCs w:val="24"/>
        </w:rPr>
        <w:t xml:space="preserve"> </w:t>
      </w:r>
      <w:proofErr w:type="spellStart"/>
      <w:r w:rsidRPr="008A3C80">
        <w:rPr>
          <w:rFonts w:ascii="Times New Roman" w:hAnsi="Times New Roman"/>
          <w:bCs/>
          <w:color w:val="000000" w:themeColor="text1"/>
          <w:sz w:val="24"/>
          <w:szCs w:val="24"/>
        </w:rPr>
        <w:t>Survey</w:t>
      </w:r>
      <w:proofErr w:type="spellEnd"/>
      <w:r w:rsidRPr="008A3C80">
        <w:rPr>
          <w:rFonts w:ascii="Times New Roman" w:hAnsi="Times New Roman"/>
          <w:bCs/>
          <w:color w:val="000000" w:themeColor="text1"/>
          <w:sz w:val="24"/>
          <w:szCs w:val="24"/>
        </w:rPr>
        <w:t xml:space="preserve"> Mineral Commodity </w:t>
      </w:r>
      <w:proofErr w:type="spellStart"/>
      <w:r w:rsidRPr="008A3C80">
        <w:rPr>
          <w:rFonts w:ascii="Times New Roman" w:hAnsi="Times New Roman"/>
          <w:bCs/>
          <w:color w:val="000000" w:themeColor="text1"/>
          <w:sz w:val="24"/>
          <w:szCs w:val="24"/>
        </w:rPr>
        <w:t>Summaries</w:t>
      </w:r>
      <w:proofErr w:type="spellEnd"/>
      <w:r w:rsidRPr="008A3C80">
        <w:rPr>
          <w:rFonts w:ascii="Times New Roman" w:hAnsi="Times New Roman"/>
          <w:bCs/>
          <w:color w:val="000000" w:themeColor="text1"/>
          <w:sz w:val="24"/>
          <w:szCs w:val="24"/>
        </w:rPr>
        <w:t xml:space="preserve"> 2012, p. 22–23.</w:t>
      </w:r>
      <w:r w:rsidR="00096431" w:rsidRPr="008A3C80">
        <w:rPr>
          <w:rFonts w:ascii="Times New Roman" w:hAnsi="Times New Roman"/>
          <w:bCs/>
          <w:color w:val="000000" w:themeColor="text1"/>
          <w:sz w:val="24"/>
          <w:szCs w:val="24"/>
        </w:rPr>
        <w:t xml:space="preserve"> Disponível em: &lt;</w:t>
      </w:r>
      <w:hyperlink r:id="rId17" w:history="1">
        <w:r w:rsidR="00096431" w:rsidRPr="008A3C80">
          <w:rPr>
            <w:rStyle w:val="Forte"/>
            <w:rFonts w:ascii="Times New Roman" w:hAnsi="Times New Roman"/>
            <w:bCs w:val="0"/>
            <w:sz w:val="24"/>
            <w:szCs w:val="24"/>
          </w:rPr>
          <w:t>http://minerals.usgs.gov/minerals/pubs/commodity/asbestos/mcs-2012-asbes.pdf</w:t>
        </w:r>
      </w:hyperlink>
      <w:r w:rsidR="00096431" w:rsidRPr="008A3C80">
        <w:rPr>
          <w:rFonts w:ascii="Times New Roman" w:hAnsi="Times New Roman"/>
          <w:bCs/>
          <w:color w:val="000000" w:themeColor="text1"/>
          <w:sz w:val="24"/>
          <w:szCs w:val="24"/>
        </w:rPr>
        <w:t>&gt;. Acessado em: 24 jul. 2014</w:t>
      </w:r>
    </w:p>
    <w:p w:rsidR="00E36EA9" w:rsidRPr="008A3C80" w:rsidRDefault="00E36EA9" w:rsidP="000E2A2C">
      <w:pPr>
        <w:autoSpaceDE w:val="0"/>
        <w:autoSpaceDN w:val="0"/>
        <w:adjustRightInd w:val="0"/>
        <w:spacing w:line="480" w:lineRule="auto"/>
        <w:ind w:left="1066"/>
        <w:rPr>
          <w:rFonts w:ascii="Times New Roman" w:hAnsi="Times New Roman"/>
          <w:bCs/>
          <w:color w:val="000000" w:themeColor="text1"/>
          <w:sz w:val="24"/>
          <w:szCs w:val="24"/>
        </w:rPr>
      </w:pPr>
      <w:r w:rsidRPr="008A3C80">
        <w:rPr>
          <w:rFonts w:ascii="Times New Roman" w:hAnsi="Times New Roman"/>
          <w:bCs/>
          <w:color w:val="000000" w:themeColor="text1"/>
          <w:sz w:val="24"/>
          <w:szCs w:val="24"/>
        </w:rPr>
        <w:t xml:space="preserve">5. </w:t>
      </w:r>
      <w:r w:rsidR="001620C8" w:rsidRPr="008A3C80">
        <w:rPr>
          <w:rFonts w:ascii="Times New Roman" w:hAnsi="Times New Roman"/>
          <w:bCs/>
          <w:color w:val="000000" w:themeColor="text1"/>
          <w:sz w:val="24"/>
          <w:szCs w:val="24"/>
        </w:rPr>
        <w:t>Associação Brasileira dos Expostos ao Amianto (ABREA). Disponível em &lt;</w:t>
      </w:r>
      <w:hyperlink r:id="rId18" w:history="1">
        <w:r w:rsidR="001620C8" w:rsidRPr="008A3C80">
          <w:rPr>
            <w:rStyle w:val="Forte"/>
            <w:rFonts w:ascii="Times New Roman" w:hAnsi="Times New Roman"/>
            <w:bCs w:val="0"/>
            <w:sz w:val="24"/>
            <w:szCs w:val="24"/>
          </w:rPr>
          <w:t>http://www.abrea.com.br/02amianto.htm</w:t>
        </w:r>
      </w:hyperlink>
      <w:r w:rsidR="001620C8" w:rsidRPr="008A3C80">
        <w:rPr>
          <w:rFonts w:ascii="Times New Roman" w:hAnsi="Times New Roman"/>
          <w:bCs/>
          <w:color w:val="000000" w:themeColor="text1"/>
          <w:sz w:val="24"/>
          <w:szCs w:val="24"/>
        </w:rPr>
        <w:t>&gt;. Acessado em: 24 jul. 2014</w:t>
      </w:r>
    </w:p>
    <w:p w:rsidR="004E52AA" w:rsidRPr="008A3C80" w:rsidRDefault="0080630B" w:rsidP="000E2A2C">
      <w:pPr>
        <w:autoSpaceDE w:val="0"/>
        <w:autoSpaceDN w:val="0"/>
        <w:adjustRightInd w:val="0"/>
        <w:spacing w:line="480" w:lineRule="auto"/>
        <w:ind w:left="1066"/>
        <w:rPr>
          <w:rFonts w:ascii="Times New Roman" w:hAnsi="Times New Roman"/>
          <w:bCs/>
          <w:color w:val="000000" w:themeColor="text1"/>
          <w:sz w:val="24"/>
          <w:szCs w:val="24"/>
        </w:rPr>
      </w:pPr>
      <w:r w:rsidRPr="008A3C80">
        <w:rPr>
          <w:rFonts w:ascii="Times New Roman" w:hAnsi="Times New Roman"/>
          <w:bCs/>
          <w:color w:val="000000" w:themeColor="text1"/>
          <w:sz w:val="24"/>
          <w:szCs w:val="24"/>
        </w:rPr>
        <w:t xml:space="preserve">6. Informe do Centro Colaborador UFBA/ISC/PISAT – MS/DSAST/CGSAT. </w:t>
      </w:r>
      <w:r w:rsidR="00C23428" w:rsidRPr="008A3C80">
        <w:rPr>
          <w:rFonts w:ascii="Times New Roman" w:hAnsi="Times New Roman"/>
          <w:bCs/>
          <w:color w:val="000000" w:themeColor="text1"/>
          <w:sz w:val="24"/>
          <w:szCs w:val="24"/>
        </w:rPr>
        <w:t xml:space="preserve">Boletim Epidemiológico </w:t>
      </w:r>
      <w:proofErr w:type="spellStart"/>
      <w:r w:rsidR="00C23428" w:rsidRPr="008A3C80">
        <w:rPr>
          <w:rFonts w:ascii="Times New Roman" w:hAnsi="Times New Roman"/>
          <w:bCs/>
          <w:color w:val="000000" w:themeColor="text1"/>
          <w:sz w:val="24"/>
          <w:szCs w:val="24"/>
        </w:rPr>
        <w:t>Morbi-Mortalidade</w:t>
      </w:r>
      <w:proofErr w:type="spellEnd"/>
      <w:r w:rsidR="00C23428" w:rsidRPr="008A3C80">
        <w:rPr>
          <w:rFonts w:ascii="Times New Roman" w:hAnsi="Times New Roman"/>
          <w:bCs/>
          <w:color w:val="000000" w:themeColor="text1"/>
          <w:sz w:val="24"/>
          <w:szCs w:val="24"/>
        </w:rPr>
        <w:t xml:space="preserve"> de Agravos à Saúde Relacionados ao Amianto no Brasil, 2000-2011</w:t>
      </w:r>
      <w:r w:rsidRPr="008A3C80">
        <w:rPr>
          <w:rFonts w:ascii="Times New Roman" w:hAnsi="Times New Roman"/>
          <w:bCs/>
          <w:color w:val="000000" w:themeColor="text1"/>
          <w:sz w:val="24"/>
          <w:szCs w:val="24"/>
        </w:rPr>
        <w:t>.</w:t>
      </w:r>
      <w:r w:rsidR="003957BD" w:rsidRPr="008A3C80">
        <w:rPr>
          <w:rFonts w:ascii="Times New Roman" w:hAnsi="Times New Roman"/>
          <w:bCs/>
          <w:color w:val="000000" w:themeColor="text1"/>
          <w:sz w:val="24"/>
          <w:szCs w:val="24"/>
        </w:rPr>
        <w:t xml:space="preserve"> </w:t>
      </w:r>
      <w:r w:rsidR="00C23428" w:rsidRPr="008A3C80">
        <w:rPr>
          <w:rFonts w:ascii="Times New Roman" w:hAnsi="Times New Roman"/>
          <w:bCs/>
          <w:color w:val="000000" w:themeColor="text1"/>
          <w:sz w:val="24"/>
          <w:szCs w:val="24"/>
        </w:rPr>
        <w:t>Edição</w:t>
      </w:r>
      <w:r w:rsidR="003957BD" w:rsidRPr="008A3C80">
        <w:rPr>
          <w:rFonts w:ascii="Times New Roman" w:hAnsi="Times New Roman"/>
          <w:bCs/>
          <w:color w:val="000000" w:themeColor="text1"/>
          <w:sz w:val="24"/>
          <w:szCs w:val="24"/>
        </w:rPr>
        <w:t xml:space="preserve"> n°5, ano II, Agosto/2012. Disponível em</w:t>
      </w:r>
      <w:r w:rsidRPr="008A3C80">
        <w:rPr>
          <w:rFonts w:ascii="Times New Roman" w:hAnsi="Times New Roman"/>
          <w:bCs/>
          <w:color w:val="000000" w:themeColor="text1"/>
          <w:sz w:val="24"/>
          <w:szCs w:val="24"/>
        </w:rPr>
        <w:t xml:space="preserve"> </w:t>
      </w:r>
      <w:r w:rsidR="003957BD" w:rsidRPr="008A3C80">
        <w:rPr>
          <w:rFonts w:ascii="Times New Roman" w:hAnsi="Times New Roman"/>
          <w:bCs/>
          <w:color w:val="000000" w:themeColor="text1"/>
          <w:sz w:val="24"/>
          <w:szCs w:val="24"/>
        </w:rPr>
        <w:t>&lt;</w:t>
      </w:r>
      <w:r w:rsidR="003957BD" w:rsidRPr="008A3C80">
        <w:rPr>
          <w:rStyle w:val="Forte"/>
          <w:rFonts w:ascii="Times New Roman" w:hAnsi="Times New Roman"/>
          <w:bCs w:val="0"/>
          <w:sz w:val="24"/>
          <w:szCs w:val="24"/>
        </w:rPr>
        <w:t>http://www.renastonline.org/recursos/boletim-epidemiol%C3%B3gico-morbi-mortalidade-agravos-sa%C3%</w:t>
      </w:r>
      <w:proofErr w:type="gramStart"/>
      <w:r w:rsidR="003957BD" w:rsidRPr="008A3C80">
        <w:rPr>
          <w:rStyle w:val="Forte"/>
          <w:rFonts w:ascii="Times New Roman" w:hAnsi="Times New Roman"/>
          <w:bCs w:val="0"/>
          <w:sz w:val="24"/>
          <w:szCs w:val="24"/>
        </w:rPr>
        <w:t>BAde</w:t>
      </w:r>
      <w:proofErr w:type="gramEnd"/>
      <w:r w:rsidR="003957BD" w:rsidRPr="008A3C80">
        <w:rPr>
          <w:rStyle w:val="Forte"/>
          <w:rFonts w:ascii="Times New Roman" w:hAnsi="Times New Roman"/>
          <w:bCs w:val="0"/>
          <w:sz w:val="24"/>
          <w:szCs w:val="24"/>
        </w:rPr>
        <w:t>-relacionados-amianto-brasil-2000</w:t>
      </w:r>
      <w:r w:rsidR="003957BD" w:rsidRPr="008A3C80">
        <w:rPr>
          <w:rFonts w:ascii="Times New Roman" w:hAnsi="Times New Roman"/>
          <w:bCs/>
          <w:color w:val="000000" w:themeColor="text1"/>
          <w:sz w:val="24"/>
          <w:szCs w:val="24"/>
        </w:rPr>
        <w:t>&gt;. Acessado em: 15 jul. 2014</w:t>
      </w:r>
    </w:p>
    <w:p w:rsidR="000650C5" w:rsidRPr="008A3C80" w:rsidRDefault="00FA08E7" w:rsidP="00075A0C">
      <w:pPr>
        <w:autoSpaceDE w:val="0"/>
        <w:autoSpaceDN w:val="0"/>
        <w:adjustRightInd w:val="0"/>
        <w:spacing w:line="480" w:lineRule="auto"/>
        <w:ind w:left="1066"/>
        <w:rPr>
          <w:rFonts w:ascii="Times New Roman" w:hAnsi="Times New Roman"/>
          <w:bCs/>
          <w:color w:val="000000" w:themeColor="text1"/>
          <w:sz w:val="24"/>
          <w:szCs w:val="24"/>
        </w:rPr>
      </w:pPr>
      <w:r w:rsidRPr="008A3C80">
        <w:rPr>
          <w:rFonts w:ascii="Times New Roman" w:hAnsi="Times New Roman"/>
          <w:bCs/>
          <w:color w:val="000000" w:themeColor="text1"/>
          <w:sz w:val="24"/>
          <w:szCs w:val="24"/>
        </w:rPr>
        <w:t xml:space="preserve">7. Camargo, J.J., Mesotelioma Pleural: aspectos Atuais. </w:t>
      </w:r>
      <w:r w:rsidR="00A842CD" w:rsidRPr="008A3C80">
        <w:rPr>
          <w:rFonts w:ascii="Times New Roman" w:hAnsi="Times New Roman"/>
          <w:bCs/>
          <w:color w:val="000000" w:themeColor="text1"/>
          <w:sz w:val="24"/>
          <w:szCs w:val="24"/>
        </w:rPr>
        <w:t xml:space="preserve">Porto Alegre, 2014, </w:t>
      </w:r>
      <w:r w:rsidRPr="008A3C80">
        <w:rPr>
          <w:rFonts w:ascii="Times New Roman" w:hAnsi="Times New Roman"/>
          <w:bCs/>
          <w:color w:val="000000" w:themeColor="text1"/>
          <w:sz w:val="24"/>
          <w:szCs w:val="24"/>
        </w:rPr>
        <w:t xml:space="preserve">Disponível em </w:t>
      </w:r>
      <w:r w:rsidRPr="008A3C80">
        <w:rPr>
          <w:rFonts w:ascii="Times New Roman" w:hAnsi="Times New Roman"/>
          <w:bCs/>
          <w:color w:val="000000" w:themeColor="text1"/>
          <w:sz w:val="24"/>
          <w:szCs w:val="24"/>
        </w:rPr>
        <w:lastRenderedPageBreak/>
        <w:t>&lt;</w:t>
      </w:r>
      <w:hyperlink r:id="rId19" w:history="1">
        <w:r w:rsidRPr="008A3C80">
          <w:rPr>
            <w:rStyle w:val="Forte"/>
            <w:rFonts w:ascii="Times New Roman" w:hAnsi="Times New Roman"/>
            <w:bCs w:val="0"/>
            <w:sz w:val="24"/>
            <w:szCs w:val="24"/>
          </w:rPr>
          <w:t>http://www.sbct.org.br/pdf/mesotelioma_pleural_aspectos_atuais.pdf</w:t>
        </w:r>
      </w:hyperlink>
      <w:r w:rsidRPr="008A3C80">
        <w:rPr>
          <w:rFonts w:ascii="Times New Roman" w:hAnsi="Times New Roman"/>
          <w:bCs/>
          <w:color w:val="000000" w:themeColor="text1"/>
          <w:sz w:val="24"/>
          <w:szCs w:val="24"/>
        </w:rPr>
        <w:t xml:space="preserve">&gt; Acessado em: 28 jul. </w:t>
      </w:r>
      <w:proofErr w:type="gramStart"/>
      <w:r w:rsidRPr="008A3C80">
        <w:rPr>
          <w:rFonts w:ascii="Times New Roman" w:hAnsi="Times New Roman"/>
          <w:bCs/>
          <w:color w:val="000000" w:themeColor="text1"/>
          <w:sz w:val="24"/>
          <w:szCs w:val="24"/>
        </w:rPr>
        <w:t>2014</w:t>
      </w:r>
      <w:proofErr w:type="gramEnd"/>
    </w:p>
    <w:p w:rsidR="00034EDE" w:rsidRPr="008A3C80" w:rsidRDefault="000650C5" w:rsidP="00075A0C">
      <w:pPr>
        <w:autoSpaceDE w:val="0"/>
        <w:autoSpaceDN w:val="0"/>
        <w:adjustRightInd w:val="0"/>
        <w:spacing w:line="480" w:lineRule="auto"/>
        <w:ind w:left="1066"/>
        <w:rPr>
          <w:rFonts w:ascii="Times New Roman" w:hAnsi="Times New Roman"/>
          <w:color w:val="FF0000"/>
          <w:sz w:val="24"/>
          <w:szCs w:val="24"/>
        </w:rPr>
      </w:pPr>
      <w:r w:rsidRPr="008A3C80">
        <w:rPr>
          <w:rFonts w:ascii="Times New Roman" w:hAnsi="Times New Roman"/>
          <w:bCs/>
          <w:color w:val="000000" w:themeColor="text1"/>
          <w:sz w:val="24"/>
          <w:szCs w:val="24"/>
        </w:rPr>
        <w:t xml:space="preserve">8. </w:t>
      </w:r>
      <w:hyperlink r:id="rId20" w:tgtFrame="_blank" w:history="1">
        <w:r w:rsidRPr="008A3C80">
          <w:rPr>
            <w:rFonts w:ascii="Times New Roman" w:hAnsi="Times New Roman"/>
            <w:bCs/>
            <w:color w:val="000000" w:themeColor="text1"/>
            <w:sz w:val="24"/>
            <w:szCs w:val="24"/>
          </w:rPr>
          <w:t>Informe ENSP</w:t>
        </w:r>
      </w:hyperlink>
      <w:r w:rsidRPr="008A3C80">
        <w:rPr>
          <w:rFonts w:ascii="Times New Roman" w:hAnsi="Times New Roman"/>
          <w:bCs/>
          <w:color w:val="000000" w:themeColor="text1"/>
          <w:sz w:val="24"/>
          <w:szCs w:val="24"/>
        </w:rPr>
        <w:t xml:space="preserve"> (Escola Nacional de Saúde Pública Sergio Arouca), 25/08/2014</w:t>
      </w:r>
      <w:r w:rsidR="007B4FED" w:rsidRPr="008A3C80">
        <w:rPr>
          <w:rFonts w:ascii="Times New Roman" w:hAnsi="Times New Roman"/>
          <w:bCs/>
          <w:color w:val="000000" w:themeColor="text1"/>
          <w:sz w:val="24"/>
          <w:szCs w:val="24"/>
        </w:rPr>
        <w:t>.</w:t>
      </w:r>
      <w:r w:rsidRPr="008A3C80">
        <w:rPr>
          <w:rFonts w:ascii="Times New Roman" w:hAnsi="Times New Roman"/>
          <w:bCs/>
          <w:color w:val="000000" w:themeColor="text1"/>
          <w:sz w:val="24"/>
          <w:szCs w:val="24"/>
        </w:rPr>
        <w:t xml:space="preserve"> Disponível em </w:t>
      </w:r>
      <w:r w:rsidR="007B4FED" w:rsidRPr="008A3C80">
        <w:rPr>
          <w:rFonts w:ascii="Times New Roman" w:hAnsi="Times New Roman"/>
          <w:bCs/>
          <w:color w:val="000000" w:themeColor="text1"/>
          <w:sz w:val="24"/>
          <w:szCs w:val="24"/>
        </w:rPr>
        <w:t>&lt;</w:t>
      </w:r>
      <w:hyperlink r:id="rId21" w:history="1">
        <w:r w:rsidRPr="008A3C80">
          <w:rPr>
            <w:rStyle w:val="Hyperlink"/>
            <w:rFonts w:ascii="Times New Roman" w:hAnsi="Times New Roman" w:cs="Helvetica"/>
            <w:sz w:val="24"/>
            <w:szCs w:val="20"/>
          </w:rPr>
          <w:t>http://www.ensp.fiocruz.br/portal-ensp/informe/site/materia/detalhe/36123</w:t>
        </w:r>
      </w:hyperlink>
      <w:r w:rsidR="007B4FED" w:rsidRPr="008A3C80">
        <w:rPr>
          <w:rFonts w:ascii="Times New Roman" w:hAnsi="Times New Roman" w:cs="Helvetica"/>
          <w:color w:val="000000"/>
          <w:sz w:val="24"/>
          <w:szCs w:val="20"/>
        </w:rPr>
        <w:t xml:space="preserve">&gt;. </w:t>
      </w:r>
      <w:r w:rsidRPr="008A3C80">
        <w:rPr>
          <w:rFonts w:ascii="Times New Roman" w:hAnsi="Times New Roman" w:cs="Helvetica"/>
          <w:color w:val="000000"/>
          <w:sz w:val="24"/>
          <w:szCs w:val="20"/>
        </w:rPr>
        <w:t xml:space="preserve"> Acessado em: 01 set. 2014</w:t>
      </w:r>
      <w:r w:rsidR="009D05AD" w:rsidRPr="008A3C80">
        <w:rPr>
          <w:rFonts w:ascii="Times New Roman" w:hAnsi="Times New Roman" w:cs="Helvetica"/>
          <w:color w:val="000000"/>
          <w:sz w:val="24"/>
          <w:szCs w:val="20"/>
        </w:rPr>
        <w:br/>
      </w:r>
    </w:p>
    <w:sectPr w:rsidR="00034EDE" w:rsidRPr="008A3C80" w:rsidSect="00E5756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801"/>
    <w:multiLevelType w:val="hybridMultilevel"/>
    <w:tmpl w:val="67769DDE"/>
    <w:lvl w:ilvl="0" w:tplc="0416000F">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12D22D26"/>
    <w:multiLevelType w:val="hybridMultilevel"/>
    <w:tmpl w:val="8CBEB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11C1AF4"/>
    <w:multiLevelType w:val="multilevel"/>
    <w:tmpl w:val="3EC0D2B0"/>
    <w:lvl w:ilvl="0">
      <w:start w:val="1"/>
      <w:numFmt w:val="decimal"/>
      <w:lvlText w:val="%1."/>
      <w:lvlJc w:val="left"/>
      <w:pPr>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nsid w:val="428F323E"/>
    <w:multiLevelType w:val="hybridMultilevel"/>
    <w:tmpl w:val="4CDE6D6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52362197"/>
    <w:multiLevelType w:val="multilevel"/>
    <w:tmpl w:val="D20E132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5B604662"/>
    <w:multiLevelType w:val="multilevel"/>
    <w:tmpl w:val="3EC0D2B0"/>
    <w:lvl w:ilvl="0">
      <w:start w:val="1"/>
      <w:numFmt w:val="decimal"/>
      <w:lvlText w:val="%1."/>
      <w:lvlJc w:val="left"/>
      <w:pPr>
        <w:ind w:left="1068"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nsid w:val="6F6679A5"/>
    <w:multiLevelType w:val="hybridMultilevel"/>
    <w:tmpl w:val="F26486B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732D5570"/>
    <w:multiLevelType w:val="multilevel"/>
    <w:tmpl w:val="05FE5DF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73"/>
    <w:rsid w:val="00015D1A"/>
    <w:rsid w:val="00015D26"/>
    <w:rsid w:val="000179BA"/>
    <w:rsid w:val="00034B09"/>
    <w:rsid w:val="00034E39"/>
    <w:rsid w:val="00034EDE"/>
    <w:rsid w:val="0005018D"/>
    <w:rsid w:val="00051348"/>
    <w:rsid w:val="00052D8B"/>
    <w:rsid w:val="00060DB8"/>
    <w:rsid w:val="000650C5"/>
    <w:rsid w:val="00075A0C"/>
    <w:rsid w:val="0008792D"/>
    <w:rsid w:val="0009060F"/>
    <w:rsid w:val="00092D57"/>
    <w:rsid w:val="00096431"/>
    <w:rsid w:val="00097ECE"/>
    <w:rsid w:val="000A59A4"/>
    <w:rsid w:val="000A6F37"/>
    <w:rsid w:val="000C5409"/>
    <w:rsid w:val="000C73EC"/>
    <w:rsid w:val="000D16C9"/>
    <w:rsid w:val="000E2A2C"/>
    <w:rsid w:val="000E2D85"/>
    <w:rsid w:val="000E47D9"/>
    <w:rsid w:val="00110785"/>
    <w:rsid w:val="001270E7"/>
    <w:rsid w:val="001527B0"/>
    <w:rsid w:val="00154647"/>
    <w:rsid w:val="001608F1"/>
    <w:rsid w:val="001620C8"/>
    <w:rsid w:val="001732D6"/>
    <w:rsid w:val="00175F76"/>
    <w:rsid w:val="001A76F4"/>
    <w:rsid w:val="001B54EA"/>
    <w:rsid w:val="001C2111"/>
    <w:rsid w:val="001C5F5D"/>
    <w:rsid w:val="001D4BBF"/>
    <w:rsid w:val="001D4E01"/>
    <w:rsid w:val="001F70B3"/>
    <w:rsid w:val="00203582"/>
    <w:rsid w:val="0020426C"/>
    <w:rsid w:val="00204E8A"/>
    <w:rsid w:val="002119D1"/>
    <w:rsid w:val="00216117"/>
    <w:rsid w:val="0021779C"/>
    <w:rsid w:val="002178F6"/>
    <w:rsid w:val="00230EFA"/>
    <w:rsid w:val="00232F19"/>
    <w:rsid w:val="0023441F"/>
    <w:rsid w:val="002371C1"/>
    <w:rsid w:val="00263EDF"/>
    <w:rsid w:val="002818C4"/>
    <w:rsid w:val="002A1C30"/>
    <w:rsid w:val="002A4329"/>
    <w:rsid w:val="002A5BC4"/>
    <w:rsid w:val="002C4349"/>
    <w:rsid w:val="002C5F1F"/>
    <w:rsid w:val="002E264B"/>
    <w:rsid w:val="002E3962"/>
    <w:rsid w:val="002F15AA"/>
    <w:rsid w:val="002F29E0"/>
    <w:rsid w:val="002F7D40"/>
    <w:rsid w:val="00306516"/>
    <w:rsid w:val="003067A1"/>
    <w:rsid w:val="00307694"/>
    <w:rsid w:val="00307F5D"/>
    <w:rsid w:val="00311CF9"/>
    <w:rsid w:val="00311EDE"/>
    <w:rsid w:val="0031424B"/>
    <w:rsid w:val="0031475D"/>
    <w:rsid w:val="00315950"/>
    <w:rsid w:val="0033494A"/>
    <w:rsid w:val="0033535A"/>
    <w:rsid w:val="003353EF"/>
    <w:rsid w:val="003370EA"/>
    <w:rsid w:val="003437A2"/>
    <w:rsid w:val="00345720"/>
    <w:rsid w:val="00347987"/>
    <w:rsid w:val="00351DC9"/>
    <w:rsid w:val="0035721A"/>
    <w:rsid w:val="0038025B"/>
    <w:rsid w:val="00386985"/>
    <w:rsid w:val="00390532"/>
    <w:rsid w:val="00394250"/>
    <w:rsid w:val="003957BD"/>
    <w:rsid w:val="003A3D9F"/>
    <w:rsid w:val="003C2A5C"/>
    <w:rsid w:val="003D71ED"/>
    <w:rsid w:val="003E1F4F"/>
    <w:rsid w:val="003F2AC0"/>
    <w:rsid w:val="003F57E5"/>
    <w:rsid w:val="003F6D99"/>
    <w:rsid w:val="003F755F"/>
    <w:rsid w:val="00411E3B"/>
    <w:rsid w:val="004346AE"/>
    <w:rsid w:val="00451ED1"/>
    <w:rsid w:val="00461120"/>
    <w:rsid w:val="004657CB"/>
    <w:rsid w:val="00473C5D"/>
    <w:rsid w:val="004758A4"/>
    <w:rsid w:val="00481F89"/>
    <w:rsid w:val="00484F0A"/>
    <w:rsid w:val="00485036"/>
    <w:rsid w:val="00485DC6"/>
    <w:rsid w:val="00486647"/>
    <w:rsid w:val="00487437"/>
    <w:rsid w:val="00487E3D"/>
    <w:rsid w:val="00492A43"/>
    <w:rsid w:val="004A2CB2"/>
    <w:rsid w:val="004A2D34"/>
    <w:rsid w:val="004B51B5"/>
    <w:rsid w:val="004B64C4"/>
    <w:rsid w:val="004C5618"/>
    <w:rsid w:val="004C57D9"/>
    <w:rsid w:val="004D1844"/>
    <w:rsid w:val="004D4090"/>
    <w:rsid w:val="004D7172"/>
    <w:rsid w:val="004E4190"/>
    <w:rsid w:val="004E52AA"/>
    <w:rsid w:val="00501CCF"/>
    <w:rsid w:val="00501E3F"/>
    <w:rsid w:val="005176BE"/>
    <w:rsid w:val="00524AC4"/>
    <w:rsid w:val="00533515"/>
    <w:rsid w:val="00541624"/>
    <w:rsid w:val="00556088"/>
    <w:rsid w:val="00573614"/>
    <w:rsid w:val="0058343E"/>
    <w:rsid w:val="00591984"/>
    <w:rsid w:val="005A0D17"/>
    <w:rsid w:val="005D2C85"/>
    <w:rsid w:val="005D47ED"/>
    <w:rsid w:val="005F35F7"/>
    <w:rsid w:val="005F5007"/>
    <w:rsid w:val="005F52CF"/>
    <w:rsid w:val="005F7A70"/>
    <w:rsid w:val="005F7CE4"/>
    <w:rsid w:val="00607570"/>
    <w:rsid w:val="00612DE0"/>
    <w:rsid w:val="006313DB"/>
    <w:rsid w:val="00636877"/>
    <w:rsid w:val="00636BE2"/>
    <w:rsid w:val="00641CFD"/>
    <w:rsid w:val="00642238"/>
    <w:rsid w:val="00647C05"/>
    <w:rsid w:val="00651C38"/>
    <w:rsid w:val="0065489A"/>
    <w:rsid w:val="006567AD"/>
    <w:rsid w:val="0066045C"/>
    <w:rsid w:val="00660A43"/>
    <w:rsid w:val="00662469"/>
    <w:rsid w:val="006637F8"/>
    <w:rsid w:val="00671190"/>
    <w:rsid w:val="00690B6F"/>
    <w:rsid w:val="006A68C0"/>
    <w:rsid w:val="006B1F76"/>
    <w:rsid w:val="006C57E8"/>
    <w:rsid w:val="006E51D7"/>
    <w:rsid w:val="006F2024"/>
    <w:rsid w:val="00705EE8"/>
    <w:rsid w:val="00706D68"/>
    <w:rsid w:val="00707976"/>
    <w:rsid w:val="00711B98"/>
    <w:rsid w:val="007208E6"/>
    <w:rsid w:val="00726FBA"/>
    <w:rsid w:val="00743CB3"/>
    <w:rsid w:val="00745FCD"/>
    <w:rsid w:val="007477C4"/>
    <w:rsid w:val="0076029C"/>
    <w:rsid w:val="0079729E"/>
    <w:rsid w:val="00797F04"/>
    <w:rsid w:val="007A61EA"/>
    <w:rsid w:val="007A7E2A"/>
    <w:rsid w:val="007B4FED"/>
    <w:rsid w:val="007C4C87"/>
    <w:rsid w:val="007D0D11"/>
    <w:rsid w:val="007D22EF"/>
    <w:rsid w:val="007F46F2"/>
    <w:rsid w:val="007F623E"/>
    <w:rsid w:val="007F6EE6"/>
    <w:rsid w:val="0080630B"/>
    <w:rsid w:val="00807E2D"/>
    <w:rsid w:val="00825A20"/>
    <w:rsid w:val="00827F68"/>
    <w:rsid w:val="00834CE8"/>
    <w:rsid w:val="008352AD"/>
    <w:rsid w:val="00844977"/>
    <w:rsid w:val="00851B12"/>
    <w:rsid w:val="00853688"/>
    <w:rsid w:val="008612DE"/>
    <w:rsid w:val="00867778"/>
    <w:rsid w:val="00877973"/>
    <w:rsid w:val="008914DD"/>
    <w:rsid w:val="008A3C80"/>
    <w:rsid w:val="008A6530"/>
    <w:rsid w:val="008B0D3B"/>
    <w:rsid w:val="008B3310"/>
    <w:rsid w:val="008C1958"/>
    <w:rsid w:val="008C3AFB"/>
    <w:rsid w:val="008E068A"/>
    <w:rsid w:val="008E0DEE"/>
    <w:rsid w:val="008E5134"/>
    <w:rsid w:val="008F6484"/>
    <w:rsid w:val="009011B2"/>
    <w:rsid w:val="0090335D"/>
    <w:rsid w:val="009324EA"/>
    <w:rsid w:val="00961E15"/>
    <w:rsid w:val="00970D2D"/>
    <w:rsid w:val="00980FF4"/>
    <w:rsid w:val="00983441"/>
    <w:rsid w:val="009844F5"/>
    <w:rsid w:val="0098653D"/>
    <w:rsid w:val="009944E9"/>
    <w:rsid w:val="009A1539"/>
    <w:rsid w:val="009B0523"/>
    <w:rsid w:val="009B1FA1"/>
    <w:rsid w:val="009C414C"/>
    <w:rsid w:val="009D05AD"/>
    <w:rsid w:val="009D5003"/>
    <w:rsid w:val="009F0B42"/>
    <w:rsid w:val="009F3EAC"/>
    <w:rsid w:val="009F4E1C"/>
    <w:rsid w:val="009F539D"/>
    <w:rsid w:val="009F6973"/>
    <w:rsid w:val="00A021DB"/>
    <w:rsid w:val="00A0443E"/>
    <w:rsid w:val="00A1389A"/>
    <w:rsid w:val="00A14380"/>
    <w:rsid w:val="00A24605"/>
    <w:rsid w:val="00A2566B"/>
    <w:rsid w:val="00A362F0"/>
    <w:rsid w:val="00A469C0"/>
    <w:rsid w:val="00A53350"/>
    <w:rsid w:val="00A56F2D"/>
    <w:rsid w:val="00A819A6"/>
    <w:rsid w:val="00A842CD"/>
    <w:rsid w:val="00A91099"/>
    <w:rsid w:val="00A9175A"/>
    <w:rsid w:val="00A969F3"/>
    <w:rsid w:val="00AA084B"/>
    <w:rsid w:val="00AB3658"/>
    <w:rsid w:val="00AB5BBD"/>
    <w:rsid w:val="00AC087A"/>
    <w:rsid w:val="00AC6ACD"/>
    <w:rsid w:val="00AD0F58"/>
    <w:rsid w:val="00AD53BF"/>
    <w:rsid w:val="00AE5908"/>
    <w:rsid w:val="00AE6DA1"/>
    <w:rsid w:val="00B13973"/>
    <w:rsid w:val="00B16F13"/>
    <w:rsid w:val="00B172EE"/>
    <w:rsid w:val="00B17D3C"/>
    <w:rsid w:val="00B24001"/>
    <w:rsid w:val="00B240CE"/>
    <w:rsid w:val="00B40551"/>
    <w:rsid w:val="00B44C23"/>
    <w:rsid w:val="00B51C23"/>
    <w:rsid w:val="00B65A17"/>
    <w:rsid w:val="00B704A3"/>
    <w:rsid w:val="00B73491"/>
    <w:rsid w:val="00B87D99"/>
    <w:rsid w:val="00B953C0"/>
    <w:rsid w:val="00BA619D"/>
    <w:rsid w:val="00BA7134"/>
    <w:rsid w:val="00BB0DDE"/>
    <w:rsid w:val="00BB234F"/>
    <w:rsid w:val="00BC002C"/>
    <w:rsid w:val="00BC59AE"/>
    <w:rsid w:val="00BD2BC1"/>
    <w:rsid w:val="00BE2A9B"/>
    <w:rsid w:val="00BE7088"/>
    <w:rsid w:val="00BE75BE"/>
    <w:rsid w:val="00BF589F"/>
    <w:rsid w:val="00C032CB"/>
    <w:rsid w:val="00C173C9"/>
    <w:rsid w:val="00C23428"/>
    <w:rsid w:val="00C25E38"/>
    <w:rsid w:val="00C33050"/>
    <w:rsid w:val="00C339C8"/>
    <w:rsid w:val="00C33C59"/>
    <w:rsid w:val="00C4368A"/>
    <w:rsid w:val="00C57ACB"/>
    <w:rsid w:val="00C65FD1"/>
    <w:rsid w:val="00C667DD"/>
    <w:rsid w:val="00C70491"/>
    <w:rsid w:val="00C72706"/>
    <w:rsid w:val="00CA34FF"/>
    <w:rsid w:val="00CD1A60"/>
    <w:rsid w:val="00D03E50"/>
    <w:rsid w:val="00D109C2"/>
    <w:rsid w:val="00D16429"/>
    <w:rsid w:val="00D35EF1"/>
    <w:rsid w:val="00D47917"/>
    <w:rsid w:val="00D50163"/>
    <w:rsid w:val="00D501BF"/>
    <w:rsid w:val="00D55B1E"/>
    <w:rsid w:val="00D67E73"/>
    <w:rsid w:val="00D707D5"/>
    <w:rsid w:val="00D7212A"/>
    <w:rsid w:val="00D75BCF"/>
    <w:rsid w:val="00D80326"/>
    <w:rsid w:val="00DA1D9A"/>
    <w:rsid w:val="00DA346A"/>
    <w:rsid w:val="00DA3608"/>
    <w:rsid w:val="00DA52A1"/>
    <w:rsid w:val="00DA56F1"/>
    <w:rsid w:val="00DB34F0"/>
    <w:rsid w:val="00DB386B"/>
    <w:rsid w:val="00DB647C"/>
    <w:rsid w:val="00DB6FA4"/>
    <w:rsid w:val="00DB7853"/>
    <w:rsid w:val="00DC590E"/>
    <w:rsid w:val="00DD0773"/>
    <w:rsid w:val="00DD178E"/>
    <w:rsid w:val="00DD729C"/>
    <w:rsid w:val="00DE065C"/>
    <w:rsid w:val="00DE2EDC"/>
    <w:rsid w:val="00DE71DA"/>
    <w:rsid w:val="00DE7E94"/>
    <w:rsid w:val="00DF060D"/>
    <w:rsid w:val="00E03167"/>
    <w:rsid w:val="00E12F03"/>
    <w:rsid w:val="00E31A51"/>
    <w:rsid w:val="00E34C33"/>
    <w:rsid w:val="00E36EA9"/>
    <w:rsid w:val="00E44DCF"/>
    <w:rsid w:val="00E5756E"/>
    <w:rsid w:val="00E77998"/>
    <w:rsid w:val="00E81D4F"/>
    <w:rsid w:val="00E83074"/>
    <w:rsid w:val="00E84891"/>
    <w:rsid w:val="00E862B8"/>
    <w:rsid w:val="00E935DA"/>
    <w:rsid w:val="00E97F12"/>
    <w:rsid w:val="00EA3843"/>
    <w:rsid w:val="00EA4B79"/>
    <w:rsid w:val="00EB18C8"/>
    <w:rsid w:val="00EB18F2"/>
    <w:rsid w:val="00EB3046"/>
    <w:rsid w:val="00EC09CB"/>
    <w:rsid w:val="00EC623A"/>
    <w:rsid w:val="00EE4EA2"/>
    <w:rsid w:val="00EE6395"/>
    <w:rsid w:val="00EF1EA9"/>
    <w:rsid w:val="00F017BF"/>
    <w:rsid w:val="00F02438"/>
    <w:rsid w:val="00F128DF"/>
    <w:rsid w:val="00F15F27"/>
    <w:rsid w:val="00F241CA"/>
    <w:rsid w:val="00F315B7"/>
    <w:rsid w:val="00F33E94"/>
    <w:rsid w:val="00F3555D"/>
    <w:rsid w:val="00F457DA"/>
    <w:rsid w:val="00F55009"/>
    <w:rsid w:val="00F5637C"/>
    <w:rsid w:val="00F57A3A"/>
    <w:rsid w:val="00F57B85"/>
    <w:rsid w:val="00F6243D"/>
    <w:rsid w:val="00FA08E7"/>
    <w:rsid w:val="00FA2EFA"/>
    <w:rsid w:val="00FA5016"/>
    <w:rsid w:val="00FB0E8B"/>
    <w:rsid w:val="00FB1B50"/>
    <w:rsid w:val="00FB66C6"/>
    <w:rsid w:val="00FC5B2C"/>
    <w:rsid w:val="00FD00CE"/>
    <w:rsid w:val="00FD268C"/>
    <w:rsid w:val="00FD5BF4"/>
    <w:rsid w:val="00FD7684"/>
    <w:rsid w:val="00FE3308"/>
    <w:rsid w:val="00FF4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73"/>
    <w:rPr>
      <w:rFonts w:eastAsia="Times New Roman" w:cs="Times New Roman"/>
    </w:rPr>
  </w:style>
  <w:style w:type="paragraph" w:styleId="Ttulo2">
    <w:name w:val="heading 2"/>
    <w:basedOn w:val="Normal"/>
    <w:link w:val="Ttulo2Char"/>
    <w:uiPriority w:val="9"/>
    <w:qFormat/>
    <w:rsid w:val="009D05AD"/>
    <w:pPr>
      <w:spacing w:before="100" w:beforeAutospacing="1" w:after="100" w:afterAutospacing="1" w:line="240" w:lineRule="auto"/>
      <w:outlineLvl w:val="1"/>
    </w:pPr>
    <w:rPr>
      <w:rFonts w:ascii="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05AD"/>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877973"/>
    <w:pPr>
      <w:ind w:left="720"/>
      <w:contextualSpacing/>
    </w:pPr>
  </w:style>
  <w:style w:type="character" w:styleId="Hyperlink">
    <w:name w:val="Hyperlink"/>
    <w:basedOn w:val="Fontepargpadro"/>
    <w:uiPriority w:val="99"/>
    <w:rsid w:val="00877973"/>
    <w:rPr>
      <w:rFonts w:cs="Times New Roman"/>
      <w:color w:val="0000FF"/>
      <w:u w:val="single"/>
    </w:rPr>
  </w:style>
  <w:style w:type="character" w:styleId="Forte">
    <w:name w:val="Strong"/>
    <w:basedOn w:val="Fontepargpadro"/>
    <w:uiPriority w:val="22"/>
    <w:qFormat/>
    <w:rsid w:val="00DB386B"/>
    <w:rPr>
      <w:b/>
      <w:bCs/>
    </w:rPr>
  </w:style>
  <w:style w:type="character" w:customStyle="1" w:styleId="apple-converted-space">
    <w:name w:val="apple-converted-space"/>
    <w:basedOn w:val="Fontepargpadro"/>
    <w:rsid w:val="009D05AD"/>
  </w:style>
  <w:style w:type="character" w:customStyle="1" w:styleId="url">
    <w:name w:val="url"/>
    <w:basedOn w:val="Fontepargpadro"/>
    <w:rsid w:val="009D05AD"/>
  </w:style>
  <w:style w:type="paragraph" w:customStyle="1" w:styleId="Reference">
    <w:name w:val="Reference"/>
    <w:uiPriority w:val="99"/>
    <w:rsid w:val="000E2A2C"/>
    <w:pPr>
      <w:spacing w:after="0" w:line="240" w:lineRule="auto"/>
      <w:ind w:left="187" w:hanging="187"/>
    </w:pPr>
    <w:rPr>
      <w:rFonts w:ascii="Times New Roman" w:eastAsia="Times New Roman" w:hAnsi="Times New Roman" w:cs="Times New Roman"/>
      <w:sz w:val="16"/>
      <w:szCs w:val="20"/>
      <w:lang w:val="en-US"/>
    </w:rPr>
  </w:style>
  <w:style w:type="character" w:styleId="Refdecomentrio">
    <w:name w:val="annotation reference"/>
    <w:basedOn w:val="Fontepargpadro"/>
    <w:uiPriority w:val="99"/>
    <w:semiHidden/>
    <w:unhideWhenUsed/>
    <w:rsid w:val="00F57B85"/>
    <w:rPr>
      <w:sz w:val="16"/>
      <w:szCs w:val="16"/>
    </w:rPr>
  </w:style>
  <w:style w:type="paragraph" w:styleId="Textodecomentrio">
    <w:name w:val="annotation text"/>
    <w:basedOn w:val="Normal"/>
    <w:link w:val="TextodecomentrioChar"/>
    <w:uiPriority w:val="99"/>
    <w:semiHidden/>
    <w:unhideWhenUsed/>
    <w:rsid w:val="00F57B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7B85"/>
    <w:rPr>
      <w:rFonts w:eastAsia="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57B85"/>
    <w:rPr>
      <w:b/>
      <w:bCs/>
    </w:rPr>
  </w:style>
  <w:style w:type="character" w:customStyle="1" w:styleId="AssuntodocomentrioChar">
    <w:name w:val="Assunto do comentário Char"/>
    <w:basedOn w:val="TextodecomentrioChar"/>
    <w:link w:val="Assuntodocomentrio"/>
    <w:uiPriority w:val="99"/>
    <w:semiHidden/>
    <w:rsid w:val="00F57B85"/>
    <w:rPr>
      <w:rFonts w:eastAsia="Times New Roman" w:cs="Times New Roman"/>
      <w:b/>
      <w:bCs/>
      <w:sz w:val="20"/>
      <w:szCs w:val="20"/>
    </w:rPr>
  </w:style>
  <w:style w:type="paragraph" w:styleId="Textodebalo">
    <w:name w:val="Balloon Text"/>
    <w:basedOn w:val="Normal"/>
    <w:link w:val="TextodebaloChar"/>
    <w:uiPriority w:val="99"/>
    <w:semiHidden/>
    <w:unhideWhenUsed/>
    <w:rsid w:val="00F57B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B85"/>
    <w:rPr>
      <w:rFonts w:ascii="Tahoma" w:eastAsia="Times New Roman" w:hAnsi="Tahoma" w:cs="Tahoma"/>
      <w:sz w:val="16"/>
      <w:szCs w:val="16"/>
    </w:rPr>
  </w:style>
  <w:style w:type="paragraph" w:styleId="Reviso">
    <w:name w:val="Revision"/>
    <w:hidden/>
    <w:uiPriority w:val="99"/>
    <w:semiHidden/>
    <w:rsid w:val="00EB18C8"/>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73"/>
    <w:rPr>
      <w:rFonts w:eastAsia="Times New Roman" w:cs="Times New Roman"/>
    </w:rPr>
  </w:style>
  <w:style w:type="paragraph" w:styleId="Ttulo2">
    <w:name w:val="heading 2"/>
    <w:basedOn w:val="Normal"/>
    <w:link w:val="Ttulo2Char"/>
    <w:uiPriority w:val="9"/>
    <w:qFormat/>
    <w:rsid w:val="009D05AD"/>
    <w:pPr>
      <w:spacing w:before="100" w:beforeAutospacing="1" w:after="100" w:afterAutospacing="1" w:line="240" w:lineRule="auto"/>
      <w:outlineLvl w:val="1"/>
    </w:pPr>
    <w:rPr>
      <w:rFonts w:ascii="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05AD"/>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877973"/>
    <w:pPr>
      <w:ind w:left="720"/>
      <w:contextualSpacing/>
    </w:pPr>
  </w:style>
  <w:style w:type="character" w:styleId="Hyperlink">
    <w:name w:val="Hyperlink"/>
    <w:basedOn w:val="Fontepargpadro"/>
    <w:uiPriority w:val="99"/>
    <w:rsid w:val="00877973"/>
    <w:rPr>
      <w:rFonts w:cs="Times New Roman"/>
      <w:color w:val="0000FF"/>
      <w:u w:val="single"/>
    </w:rPr>
  </w:style>
  <w:style w:type="character" w:styleId="Forte">
    <w:name w:val="Strong"/>
    <w:basedOn w:val="Fontepargpadro"/>
    <w:uiPriority w:val="22"/>
    <w:qFormat/>
    <w:rsid w:val="00DB386B"/>
    <w:rPr>
      <w:b/>
      <w:bCs/>
    </w:rPr>
  </w:style>
  <w:style w:type="character" w:customStyle="1" w:styleId="apple-converted-space">
    <w:name w:val="apple-converted-space"/>
    <w:basedOn w:val="Fontepargpadro"/>
    <w:rsid w:val="009D05AD"/>
  </w:style>
  <w:style w:type="character" w:customStyle="1" w:styleId="url">
    <w:name w:val="url"/>
    <w:basedOn w:val="Fontepargpadro"/>
    <w:rsid w:val="009D05AD"/>
  </w:style>
  <w:style w:type="paragraph" w:customStyle="1" w:styleId="Reference">
    <w:name w:val="Reference"/>
    <w:uiPriority w:val="99"/>
    <w:rsid w:val="000E2A2C"/>
    <w:pPr>
      <w:spacing w:after="0" w:line="240" w:lineRule="auto"/>
      <w:ind w:left="187" w:hanging="187"/>
    </w:pPr>
    <w:rPr>
      <w:rFonts w:ascii="Times New Roman" w:eastAsia="Times New Roman" w:hAnsi="Times New Roman" w:cs="Times New Roman"/>
      <w:sz w:val="16"/>
      <w:szCs w:val="20"/>
      <w:lang w:val="en-US"/>
    </w:rPr>
  </w:style>
  <w:style w:type="character" w:styleId="Refdecomentrio">
    <w:name w:val="annotation reference"/>
    <w:basedOn w:val="Fontepargpadro"/>
    <w:uiPriority w:val="99"/>
    <w:semiHidden/>
    <w:unhideWhenUsed/>
    <w:rsid w:val="00F57B85"/>
    <w:rPr>
      <w:sz w:val="16"/>
      <w:szCs w:val="16"/>
    </w:rPr>
  </w:style>
  <w:style w:type="paragraph" w:styleId="Textodecomentrio">
    <w:name w:val="annotation text"/>
    <w:basedOn w:val="Normal"/>
    <w:link w:val="TextodecomentrioChar"/>
    <w:uiPriority w:val="99"/>
    <w:semiHidden/>
    <w:unhideWhenUsed/>
    <w:rsid w:val="00F57B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7B85"/>
    <w:rPr>
      <w:rFonts w:eastAsia="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57B85"/>
    <w:rPr>
      <w:b/>
      <w:bCs/>
    </w:rPr>
  </w:style>
  <w:style w:type="character" w:customStyle="1" w:styleId="AssuntodocomentrioChar">
    <w:name w:val="Assunto do comentário Char"/>
    <w:basedOn w:val="TextodecomentrioChar"/>
    <w:link w:val="Assuntodocomentrio"/>
    <w:uiPriority w:val="99"/>
    <w:semiHidden/>
    <w:rsid w:val="00F57B85"/>
    <w:rPr>
      <w:rFonts w:eastAsia="Times New Roman" w:cs="Times New Roman"/>
      <w:b/>
      <w:bCs/>
      <w:sz w:val="20"/>
      <w:szCs w:val="20"/>
    </w:rPr>
  </w:style>
  <w:style w:type="paragraph" w:styleId="Textodebalo">
    <w:name w:val="Balloon Text"/>
    <w:basedOn w:val="Normal"/>
    <w:link w:val="TextodebaloChar"/>
    <w:uiPriority w:val="99"/>
    <w:semiHidden/>
    <w:unhideWhenUsed/>
    <w:rsid w:val="00F57B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B85"/>
    <w:rPr>
      <w:rFonts w:ascii="Tahoma" w:eastAsia="Times New Roman" w:hAnsi="Tahoma" w:cs="Tahoma"/>
      <w:sz w:val="16"/>
      <w:szCs w:val="16"/>
    </w:rPr>
  </w:style>
  <w:style w:type="paragraph" w:styleId="Reviso">
    <w:name w:val="Revision"/>
    <w:hidden/>
    <w:uiPriority w:val="99"/>
    <w:semiHidden/>
    <w:rsid w:val="00EB18C8"/>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5587">
      <w:bodyDiv w:val="1"/>
      <w:marLeft w:val="0"/>
      <w:marRight w:val="0"/>
      <w:marTop w:val="0"/>
      <w:marBottom w:val="0"/>
      <w:divBdr>
        <w:top w:val="none" w:sz="0" w:space="0" w:color="auto"/>
        <w:left w:val="none" w:sz="0" w:space="0" w:color="auto"/>
        <w:bottom w:val="none" w:sz="0" w:space="0" w:color="auto"/>
        <w:right w:val="none" w:sz="0" w:space="0" w:color="auto"/>
      </w:divBdr>
    </w:div>
    <w:div w:id="187524432">
      <w:bodyDiv w:val="1"/>
      <w:marLeft w:val="0"/>
      <w:marRight w:val="0"/>
      <w:marTop w:val="0"/>
      <w:marBottom w:val="0"/>
      <w:divBdr>
        <w:top w:val="none" w:sz="0" w:space="0" w:color="auto"/>
        <w:left w:val="none" w:sz="0" w:space="0" w:color="auto"/>
        <w:bottom w:val="none" w:sz="0" w:space="0" w:color="auto"/>
        <w:right w:val="none" w:sz="0" w:space="0" w:color="auto"/>
      </w:divBdr>
    </w:div>
    <w:div w:id="280772688">
      <w:bodyDiv w:val="1"/>
      <w:marLeft w:val="0"/>
      <w:marRight w:val="0"/>
      <w:marTop w:val="0"/>
      <w:marBottom w:val="0"/>
      <w:divBdr>
        <w:top w:val="none" w:sz="0" w:space="0" w:color="auto"/>
        <w:left w:val="none" w:sz="0" w:space="0" w:color="auto"/>
        <w:bottom w:val="none" w:sz="0" w:space="0" w:color="auto"/>
        <w:right w:val="none" w:sz="0" w:space="0" w:color="auto"/>
      </w:divBdr>
    </w:div>
    <w:div w:id="437989043">
      <w:bodyDiv w:val="1"/>
      <w:marLeft w:val="0"/>
      <w:marRight w:val="0"/>
      <w:marTop w:val="0"/>
      <w:marBottom w:val="0"/>
      <w:divBdr>
        <w:top w:val="none" w:sz="0" w:space="0" w:color="auto"/>
        <w:left w:val="none" w:sz="0" w:space="0" w:color="auto"/>
        <w:bottom w:val="none" w:sz="0" w:space="0" w:color="auto"/>
        <w:right w:val="none" w:sz="0" w:space="0" w:color="auto"/>
      </w:divBdr>
    </w:div>
    <w:div w:id="529874340">
      <w:bodyDiv w:val="1"/>
      <w:marLeft w:val="0"/>
      <w:marRight w:val="0"/>
      <w:marTop w:val="0"/>
      <w:marBottom w:val="0"/>
      <w:divBdr>
        <w:top w:val="none" w:sz="0" w:space="0" w:color="auto"/>
        <w:left w:val="none" w:sz="0" w:space="0" w:color="auto"/>
        <w:bottom w:val="none" w:sz="0" w:space="0" w:color="auto"/>
        <w:right w:val="none" w:sz="0" w:space="0" w:color="auto"/>
      </w:divBdr>
    </w:div>
    <w:div w:id="593169668">
      <w:bodyDiv w:val="1"/>
      <w:marLeft w:val="0"/>
      <w:marRight w:val="0"/>
      <w:marTop w:val="0"/>
      <w:marBottom w:val="0"/>
      <w:divBdr>
        <w:top w:val="none" w:sz="0" w:space="0" w:color="auto"/>
        <w:left w:val="none" w:sz="0" w:space="0" w:color="auto"/>
        <w:bottom w:val="none" w:sz="0" w:space="0" w:color="auto"/>
        <w:right w:val="none" w:sz="0" w:space="0" w:color="auto"/>
      </w:divBdr>
    </w:div>
    <w:div w:id="620305738">
      <w:bodyDiv w:val="1"/>
      <w:marLeft w:val="0"/>
      <w:marRight w:val="0"/>
      <w:marTop w:val="0"/>
      <w:marBottom w:val="0"/>
      <w:divBdr>
        <w:top w:val="none" w:sz="0" w:space="0" w:color="auto"/>
        <w:left w:val="none" w:sz="0" w:space="0" w:color="auto"/>
        <w:bottom w:val="none" w:sz="0" w:space="0" w:color="auto"/>
        <w:right w:val="none" w:sz="0" w:space="0" w:color="auto"/>
      </w:divBdr>
    </w:div>
    <w:div w:id="726493798">
      <w:bodyDiv w:val="1"/>
      <w:marLeft w:val="0"/>
      <w:marRight w:val="0"/>
      <w:marTop w:val="0"/>
      <w:marBottom w:val="0"/>
      <w:divBdr>
        <w:top w:val="none" w:sz="0" w:space="0" w:color="auto"/>
        <w:left w:val="none" w:sz="0" w:space="0" w:color="auto"/>
        <w:bottom w:val="none" w:sz="0" w:space="0" w:color="auto"/>
        <w:right w:val="none" w:sz="0" w:space="0" w:color="auto"/>
      </w:divBdr>
    </w:div>
    <w:div w:id="745424459">
      <w:bodyDiv w:val="1"/>
      <w:marLeft w:val="0"/>
      <w:marRight w:val="0"/>
      <w:marTop w:val="0"/>
      <w:marBottom w:val="0"/>
      <w:divBdr>
        <w:top w:val="none" w:sz="0" w:space="0" w:color="auto"/>
        <w:left w:val="none" w:sz="0" w:space="0" w:color="auto"/>
        <w:bottom w:val="none" w:sz="0" w:space="0" w:color="auto"/>
        <w:right w:val="none" w:sz="0" w:space="0" w:color="auto"/>
      </w:divBdr>
    </w:div>
    <w:div w:id="874273108">
      <w:bodyDiv w:val="1"/>
      <w:marLeft w:val="0"/>
      <w:marRight w:val="0"/>
      <w:marTop w:val="0"/>
      <w:marBottom w:val="0"/>
      <w:divBdr>
        <w:top w:val="none" w:sz="0" w:space="0" w:color="auto"/>
        <w:left w:val="none" w:sz="0" w:space="0" w:color="auto"/>
        <w:bottom w:val="none" w:sz="0" w:space="0" w:color="auto"/>
        <w:right w:val="none" w:sz="0" w:space="0" w:color="auto"/>
      </w:divBdr>
    </w:div>
    <w:div w:id="1037008689">
      <w:bodyDiv w:val="1"/>
      <w:marLeft w:val="0"/>
      <w:marRight w:val="0"/>
      <w:marTop w:val="0"/>
      <w:marBottom w:val="0"/>
      <w:divBdr>
        <w:top w:val="none" w:sz="0" w:space="0" w:color="auto"/>
        <w:left w:val="none" w:sz="0" w:space="0" w:color="auto"/>
        <w:bottom w:val="none" w:sz="0" w:space="0" w:color="auto"/>
        <w:right w:val="none" w:sz="0" w:space="0" w:color="auto"/>
      </w:divBdr>
    </w:div>
    <w:div w:id="1141189495">
      <w:bodyDiv w:val="1"/>
      <w:marLeft w:val="0"/>
      <w:marRight w:val="0"/>
      <w:marTop w:val="0"/>
      <w:marBottom w:val="0"/>
      <w:divBdr>
        <w:top w:val="none" w:sz="0" w:space="0" w:color="auto"/>
        <w:left w:val="none" w:sz="0" w:space="0" w:color="auto"/>
        <w:bottom w:val="none" w:sz="0" w:space="0" w:color="auto"/>
        <w:right w:val="none" w:sz="0" w:space="0" w:color="auto"/>
      </w:divBdr>
    </w:div>
    <w:div w:id="1230190209">
      <w:bodyDiv w:val="1"/>
      <w:marLeft w:val="0"/>
      <w:marRight w:val="0"/>
      <w:marTop w:val="0"/>
      <w:marBottom w:val="0"/>
      <w:divBdr>
        <w:top w:val="none" w:sz="0" w:space="0" w:color="auto"/>
        <w:left w:val="none" w:sz="0" w:space="0" w:color="auto"/>
        <w:bottom w:val="none" w:sz="0" w:space="0" w:color="auto"/>
        <w:right w:val="none" w:sz="0" w:space="0" w:color="auto"/>
      </w:divBdr>
    </w:div>
    <w:div w:id="1233125821">
      <w:bodyDiv w:val="1"/>
      <w:marLeft w:val="0"/>
      <w:marRight w:val="0"/>
      <w:marTop w:val="0"/>
      <w:marBottom w:val="0"/>
      <w:divBdr>
        <w:top w:val="none" w:sz="0" w:space="0" w:color="auto"/>
        <w:left w:val="none" w:sz="0" w:space="0" w:color="auto"/>
        <w:bottom w:val="none" w:sz="0" w:space="0" w:color="auto"/>
        <w:right w:val="none" w:sz="0" w:space="0" w:color="auto"/>
      </w:divBdr>
    </w:div>
    <w:div w:id="1303079415">
      <w:bodyDiv w:val="1"/>
      <w:marLeft w:val="0"/>
      <w:marRight w:val="0"/>
      <w:marTop w:val="0"/>
      <w:marBottom w:val="0"/>
      <w:divBdr>
        <w:top w:val="none" w:sz="0" w:space="0" w:color="auto"/>
        <w:left w:val="none" w:sz="0" w:space="0" w:color="auto"/>
        <w:bottom w:val="none" w:sz="0" w:space="0" w:color="auto"/>
        <w:right w:val="none" w:sz="0" w:space="0" w:color="auto"/>
      </w:divBdr>
    </w:div>
    <w:div w:id="1770929651">
      <w:bodyDiv w:val="1"/>
      <w:marLeft w:val="0"/>
      <w:marRight w:val="0"/>
      <w:marTop w:val="0"/>
      <w:marBottom w:val="0"/>
      <w:divBdr>
        <w:top w:val="none" w:sz="0" w:space="0" w:color="auto"/>
        <w:left w:val="none" w:sz="0" w:space="0" w:color="auto"/>
        <w:bottom w:val="none" w:sz="0" w:space="0" w:color="auto"/>
        <w:right w:val="none" w:sz="0" w:space="0" w:color="auto"/>
      </w:divBdr>
    </w:div>
    <w:div w:id="20867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jus.com.br/revista/edicoes/2005/3/18" TargetMode="External"/><Relationship Id="rId18" Type="http://schemas.openxmlformats.org/officeDocument/2006/relationships/hyperlink" Target="http://www.abrea.com.br/02amianto.htm" TargetMode="External"/><Relationship Id="rId3" Type="http://schemas.openxmlformats.org/officeDocument/2006/relationships/styles" Target="styles.xml"/><Relationship Id="rId21" Type="http://schemas.openxmlformats.org/officeDocument/2006/relationships/hyperlink" Target="http://www.ensp.fiocruz.br/portal-ensp/informe/site/materia/detalhe/36123" TargetMode="External"/><Relationship Id="rId7" Type="http://schemas.openxmlformats.org/officeDocument/2006/relationships/hyperlink" Target="http://www.ensp.fiocruz.br/portal-ensp/informe/site/materia/detalhe/36123" TargetMode="External"/><Relationship Id="rId12" Type="http://schemas.openxmlformats.org/officeDocument/2006/relationships/hyperlink" Target="http://jus.com.br/revista/edicoes/2005" TargetMode="External"/><Relationship Id="rId17" Type="http://schemas.openxmlformats.org/officeDocument/2006/relationships/hyperlink" Target="http://minerals.usgs.gov/minerals/pubs/commodity/asbestos/mcs-2012-asbes.pdf" TargetMode="External"/><Relationship Id="rId2" Type="http://schemas.openxmlformats.org/officeDocument/2006/relationships/numbering" Target="numbering.xml"/><Relationship Id="rId16" Type="http://schemas.openxmlformats.org/officeDocument/2006/relationships/hyperlink" Target="http://jus.com.br/revista/edicoes/2005" TargetMode="External"/><Relationship Id="rId20" Type="http://schemas.openxmlformats.org/officeDocument/2006/relationships/hyperlink" Target="http://www.ensp.fiocruz.br/portal-ensp/informe/site/materia/detalhe/3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s.com.br/artigos/6461/morte-lenta" TargetMode="External"/><Relationship Id="rId5" Type="http://schemas.openxmlformats.org/officeDocument/2006/relationships/settings" Target="settings.xml"/><Relationship Id="rId15" Type="http://schemas.openxmlformats.org/officeDocument/2006/relationships/hyperlink" Target="http://jus.com.br/revista/edicoes/2005/3" TargetMode="External"/><Relationship Id="rId23" Type="http://schemas.openxmlformats.org/officeDocument/2006/relationships/theme" Target="theme/theme1.xml"/><Relationship Id="rId10" Type="http://schemas.openxmlformats.org/officeDocument/2006/relationships/hyperlink" Target="http://www.who.int/ipcs/assessment/public_health/asbestos/en/" TargetMode="External"/><Relationship Id="rId19" Type="http://schemas.openxmlformats.org/officeDocument/2006/relationships/hyperlink" Target="http://www.sbct.org.br/pdf/mesotelioma_pleural_aspectos_atuais.pdf" TargetMode="External"/><Relationship Id="rId4" Type="http://schemas.microsoft.com/office/2007/relationships/stylesWithEffects" Target="stylesWithEffects.xml"/><Relationship Id="rId9" Type="http://schemas.openxmlformats.org/officeDocument/2006/relationships/hyperlink" Target="http://www1.inca.gov.br/conteudo_view.asp?ID=15" TargetMode="External"/><Relationship Id="rId14" Type="http://schemas.openxmlformats.org/officeDocument/2006/relationships/hyperlink" Target="http://jus.com.br/revista/edicoes/2005/3/1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RABALHO\D\MEUS%20DOCUMENTOS\VIGIPEQ\BENZENO%20AMIANTO%20MERCURIO%20e%20CHUMBO\AMIANTO\140609_Asbestose\140609_Pneu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391587113557704"/>
          <c:y val="3.5087719298245612E-2"/>
          <c:w val="0.43113427635704826"/>
          <c:h val="0.81736302100993352"/>
        </c:manualLayout>
      </c:layout>
      <c:barChart>
        <c:barDir val="bar"/>
        <c:grouping val="clustered"/>
        <c:varyColors val="0"/>
        <c:ser>
          <c:idx val="0"/>
          <c:order val="0"/>
          <c:tx>
            <c:strRef>
              <c:f>Ocupação!$M$4</c:f>
              <c:strCache>
                <c:ptCount val="1"/>
                <c:pt idx="0">
                  <c:v>Ocupação (N)</c:v>
                </c:pt>
              </c:strCache>
            </c:strRef>
          </c:tx>
          <c:invertIfNegative val="0"/>
          <c:dLbls>
            <c:showLegendKey val="0"/>
            <c:showVal val="1"/>
            <c:showCatName val="0"/>
            <c:showSerName val="0"/>
            <c:showPercent val="0"/>
            <c:showBubbleSize val="0"/>
            <c:showLeaderLines val="0"/>
          </c:dLbls>
          <c:cat>
            <c:strRef>
              <c:f>Ocupação!$L$5:$L$17</c:f>
              <c:strCache>
                <c:ptCount val="13"/>
                <c:pt idx="0">
                  <c:v>TRABALHADOR DA ELABORACAO DE PRE-FABRICADOS (CIMENTO AMIANTO)</c:v>
                </c:pt>
                <c:pt idx="1">
                  <c:v>TRABALHADOR DA ELABORACAO DE PRE-FABRICADOS (CONCRETO ARMADO)</c:v>
                </c:pt>
                <c:pt idx="2">
                  <c:v>MOLDADOR, A MAQUINA</c:v>
                </c:pt>
                <c:pt idx="3">
                  <c:v>CERAMISTA MOLDADOR</c:v>
                </c:pt>
                <c:pt idx="4">
                  <c:v>SERVENTE DE OBRAS</c:v>
                </c:pt>
                <c:pt idx="5">
                  <c:v>MECANICO DE MANUTENCAO DE MAQUINAS, EM GERAL</c:v>
                </c:pt>
                <c:pt idx="6">
                  <c:v>TELHADOR (TELHAS DE CIMENTO-AMIANTO)</c:v>
                </c:pt>
                <c:pt idx="7">
                  <c:v>OPERADOR DE EMPILHADEIRA</c:v>
                </c:pt>
                <c:pt idx="8">
                  <c:v>OPERADOR DE MAQUINAS FIXAS, EM GERAL</c:v>
                </c:pt>
                <c:pt idx="9">
                  <c:v>MARCENEIRO</c:v>
                </c:pt>
                <c:pt idx="10">
                  <c:v>AUXILIAR DE ESCRITORIO, EM GERAL</c:v>
                </c:pt>
                <c:pt idx="11">
                  <c:v>Outros (115 ocupações)</c:v>
                </c:pt>
                <c:pt idx="12">
                  <c:v>IGNORADA</c:v>
                </c:pt>
              </c:strCache>
            </c:strRef>
          </c:cat>
          <c:val>
            <c:numRef>
              <c:f>Ocupação!$M$5:$M$17</c:f>
              <c:numCache>
                <c:formatCode>General</c:formatCode>
                <c:ptCount val="13"/>
                <c:pt idx="0">
                  <c:v>596</c:v>
                </c:pt>
                <c:pt idx="1">
                  <c:v>89</c:v>
                </c:pt>
                <c:pt idx="2">
                  <c:v>59</c:v>
                </c:pt>
                <c:pt idx="3">
                  <c:v>40</c:v>
                </c:pt>
                <c:pt idx="4">
                  <c:v>38</c:v>
                </c:pt>
                <c:pt idx="5">
                  <c:v>23</c:v>
                </c:pt>
                <c:pt idx="6">
                  <c:v>21</c:v>
                </c:pt>
                <c:pt idx="7">
                  <c:v>20</c:v>
                </c:pt>
                <c:pt idx="8">
                  <c:v>16</c:v>
                </c:pt>
                <c:pt idx="9">
                  <c:v>11</c:v>
                </c:pt>
                <c:pt idx="10">
                  <c:v>10</c:v>
                </c:pt>
                <c:pt idx="11">
                  <c:v>243</c:v>
                </c:pt>
                <c:pt idx="12">
                  <c:v>26</c:v>
                </c:pt>
              </c:numCache>
            </c:numRef>
          </c:val>
        </c:ser>
        <c:dLbls>
          <c:showLegendKey val="0"/>
          <c:showVal val="0"/>
          <c:showCatName val="0"/>
          <c:showSerName val="0"/>
          <c:showPercent val="0"/>
          <c:showBubbleSize val="0"/>
        </c:dLbls>
        <c:gapWidth val="150"/>
        <c:axId val="132612480"/>
        <c:axId val="132614784"/>
      </c:barChart>
      <c:catAx>
        <c:axId val="132612480"/>
        <c:scaling>
          <c:orientation val="minMax"/>
        </c:scaling>
        <c:delete val="0"/>
        <c:axPos val="l"/>
        <c:title>
          <c:tx>
            <c:rich>
              <a:bodyPr rot="-5400000" vert="horz"/>
              <a:lstStyle/>
              <a:p>
                <a:pPr>
                  <a:defRPr/>
                </a:pPr>
                <a:r>
                  <a:rPr lang="en-US"/>
                  <a:t>Ocupação</a:t>
                </a:r>
              </a:p>
            </c:rich>
          </c:tx>
          <c:layout>
            <c:manualLayout>
              <c:xMode val="edge"/>
              <c:yMode val="edge"/>
              <c:x val="1.6035305321348114E-2"/>
              <c:y val="0.36897460281232963"/>
            </c:manualLayout>
          </c:layout>
          <c:overlay val="0"/>
        </c:title>
        <c:majorTickMark val="out"/>
        <c:minorTickMark val="none"/>
        <c:tickLblPos val="nextTo"/>
        <c:txPr>
          <a:bodyPr/>
          <a:lstStyle/>
          <a:p>
            <a:pPr>
              <a:defRPr sz="800"/>
            </a:pPr>
            <a:endParaRPr lang="pt-BR"/>
          </a:p>
        </c:txPr>
        <c:crossAx val="132614784"/>
        <c:crosses val="autoZero"/>
        <c:auto val="1"/>
        <c:lblAlgn val="ctr"/>
        <c:lblOffset val="100"/>
        <c:noMultiLvlLbl val="0"/>
      </c:catAx>
      <c:valAx>
        <c:axId val="132614784"/>
        <c:scaling>
          <c:orientation val="minMax"/>
        </c:scaling>
        <c:delete val="0"/>
        <c:axPos val="b"/>
        <c:majorGridlines/>
        <c:title>
          <c:tx>
            <c:rich>
              <a:bodyPr/>
              <a:lstStyle/>
              <a:p>
                <a:pPr>
                  <a:defRPr/>
                </a:pPr>
                <a:r>
                  <a:rPr lang="en-US"/>
                  <a:t>N</a:t>
                </a:r>
              </a:p>
            </c:rich>
          </c:tx>
          <c:overlay val="0"/>
        </c:title>
        <c:numFmt formatCode="General" sourceLinked="1"/>
        <c:majorTickMark val="out"/>
        <c:minorTickMark val="none"/>
        <c:tickLblPos val="nextTo"/>
        <c:crossAx val="132612480"/>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0.94048</cdr:x>
      <cdr:y>0.93026</cdr:y>
    </cdr:from>
    <cdr:to>
      <cdr:x>1</cdr:x>
      <cdr:y>1</cdr:y>
    </cdr:to>
    <cdr:sp macro="" textlink="">
      <cdr:nvSpPr>
        <cdr:cNvPr id="2" name="CaixaDeTexto 1"/>
        <cdr:cNvSpPr txBox="1"/>
      </cdr:nvSpPr>
      <cdr:spPr>
        <a:xfrm xmlns:a="http://schemas.openxmlformats.org/drawingml/2006/main">
          <a:off x="4299857" y="3630385"/>
          <a:ext cx="272143" cy="2721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EF0C-83C4-4DBB-973F-6ABBB028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2969</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carolina.matsui</dc:creator>
  <cp:lastModifiedBy>Fernanda Valentim Conde De Castro Frade</cp:lastModifiedBy>
  <cp:revision>3</cp:revision>
  <dcterms:created xsi:type="dcterms:W3CDTF">2015-08-11T13:01:00Z</dcterms:created>
  <dcterms:modified xsi:type="dcterms:W3CDTF">2015-08-11T13:01:00Z</dcterms:modified>
</cp:coreProperties>
</file>